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96A" w:rsidRPr="00F271E9" w:rsidRDefault="000D496A" w:rsidP="00C07DAF">
      <w:pPr>
        <w:pStyle w:val="DocketNumber"/>
        <w:rPr>
          <w:bCs/>
        </w:rPr>
      </w:pPr>
      <w:r w:rsidRPr="00F271E9">
        <w:t xml:space="preserve">Docket </w:t>
      </w:r>
      <w:r w:rsidRPr="009106F4">
        <w:t>No</w:t>
      </w:r>
      <w:r w:rsidRPr="00F271E9">
        <w:t xml:space="preserve">. </w:t>
      </w:r>
      <w:r w:rsidR="003402A2">
        <w:t>46359</w:t>
      </w:r>
    </w:p>
    <w:tbl>
      <w:tblPr>
        <w:tblW w:w="0" w:type="auto"/>
        <w:jc w:val="center"/>
        <w:tblLayout w:type="fixed"/>
        <w:tblLook w:val="01E0" w:firstRow="1" w:lastRow="1" w:firstColumn="1" w:lastColumn="1" w:noHBand="0" w:noVBand="0"/>
      </w:tblPr>
      <w:tblGrid>
        <w:gridCol w:w="4493"/>
        <w:gridCol w:w="360"/>
        <w:gridCol w:w="4493"/>
      </w:tblGrid>
      <w:tr w:rsidR="000D496A" w:rsidTr="000C24B7">
        <w:trPr>
          <w:jc w:val="center"/>
        </w:trPr>
        <w:tc>
          <w:tcPr>
            <w:tcW w:w="4493" w:type="dxa"/>
          </w:tcPr>
          <w:p w:rsidR="00AE312D" w:rsidRPr="000C24B7" w:rsidRDefault="00EF4FAB" w:rsidP="003402A2">
            <w:pPr>
              <w:pStyle w:val="OrderStyle"/>
            </w:pPr>
            <w:r w:rsidRPr="00EF4FAB">
              <w:t xml:space="preserve">APPLICATION OF </w:t>
            </w:r>
            <w:r w:rsidR="003402A2">
              <w:t xml:space="preserve">cITY OF FAIR OAKS RANCH TO AMEND </w:t>
            </w:r>
            <w:r w:rsidR="00E17DDD">
              <w:t xml:space="preserve">a </w:t>
            </w:r>
            <w:r w:rsidRPr="00EF4FAB">
              <w:t>W</w:t>
            </w:r>
            <w:r w:rsidR="003402A2">
              <w:t>AT</w:t>
            </w:r>
            <w:r w:rsidRPr="00EF4FAB">
              <w:t xml:space="preserve">ER CERTIFICATE OF CONVENIENCE AND NECESSITY IN </w:t>
            </w:r>
            <w:r w:rsidR="003402A2">
              <w:t xml:space="preserve">KENDALL </w:t>
            </w:r>
            <w:r w:rsidR="00E17DDD">
              <w:t>County</w:t>
            </w:r>
          </w:p>
        </w:tc>
        <w:tc>
          <w:tcPr>
            <w:tcW w:w="360" w:type="dxa"/>
          </w:tcPr>
          <w:p w:rsidR="000D496A" w:rsidRPr="000C24B7" w:rsidRDefault="000D496A" w:rsidP="000D496A">
            <w:pPr>
              <w:rPr>
                <w:rStyle w:val="StyleBold"/>
                <w:rFonts w:eastAsia="SimSun"/>
              </w:rPr>
            </w:pPr>
            <w:r w:rsidRPr="000C24B7">
              <w:rPr>
                <w:rStyle w:val="StyleBold"/>
                <w:rFonts w:eastAsia="SimSun"/>
              </w:rPr>
              <w:t>§</w:t>
            </w:r>
          </w:p>
          <w:p w:rsidR="00D76B94" w:rsidRPr="000C24B7" w:rsidRDefault="00D76B94" w:rsidP="00D76B94">
            <w:pPr>
              <w:rPr>
                <w:rStyle w:val="StyleBold"/>
                <w:rFonts w:eastAsia="SimSun"/>
              </w:rPr>
            </w:pPr>
            <w:r w:rsidRPr="000C24B7">
              <w:rPr>
                <w:rStyle w:val="StyleBold"/>
                <w:rFonts w:eastAsia="SimSun"/>
              </w:rPr>
              <w:t>§</w:t>
            </w:r>
          </w:p>
          <w:p w:rsidR="00D76B94" w:rsidRPr="000C24B7" w:rsidRDefault="00D76B94" w:rsidP="00D76B94">
            <w:pPr>
              <w:rPr>
                <w:rStyle w:val="StyleBold"/>
                <w:rFonts w:eastAsia="SimSun"/>
              </w:rPr>
            </w:pPr>
            <w:r w:rsidRPr="000C24B7">
              <w:rPr>
                <w:rStyle w:val="StyleBold"/>
                <w:rFonts w:eastAsia="SimSun"/>
              </w:rPr>
              <w:t>§</w:t>
            </w:r>
          </w:p>
          <w:p w:rsidR="000D496A" w:rsidRDefault="00D76B94" w:rsidP="000D496A">
            <w:pPr>
              <w:rPr>
                <w:rStyle w:val="StyleBold"/>
                <w:rFonts w:eastAsia="SimSun"/>
              </w:rPr>
            </w:pPr>
            <w:r w:rsidRPr="000C24B7">
              <w:rPr>
                <w:rStyle w:val="StyleBold"/>
                <w:rFonts w:eastAsia="SimSun"/>
              </w:rPr>
              <w:t>§</w:t>
            </w:r>
          </w:p>
          <w:p w:rsidR="009F4328" w:rsidRPr="007248EE" w:rsidRDefault="009F4328" w:rsidP="000D496A">
            <w:pPr>
              <w:rPr>
                <w:rFonts w:eastAsia="SimSun"/>
                <w:b/>
                <w:bCs/>
                <w:caps/>
              </w:rPr>
            </w:pPr>
            <w:r>
              <w:rPr>
                <w:rStyle w:val="StyleBold"/>
                <w:rFonts w:eastAsia="SimSun"/>
              </w:rPr>
              <w:t>§</w:t>
            </w:r>
          </w:p>
        </w:tc>
        <w:tc>
          <w:tcPr>
            <w:tcW w:w="4493" w:type="dxa"/>
          </w:tcPr>
          <w:p w:rsidR="000D496A" w:rsidRPr="000C24B7" w:rsidRDefault="000D496A" w:rsidP="000C24B7">
            <w:pPr>
              <w:jc w:val="center"/>
              <w:rPr>
                <w:rFonts w:eastAsia="SimSun"/>
                <w:b/>
                <w:caps/>
              </w:rPr>
            </w:pPr>
            <w:r w:rsidRPr="000C24B7">
              <w:rPr>
                <w:rFonts w:eastAsia="SimSun"/>
                <w:b/>
                <w:caps/>
              </w:rPr>
              <w:t>Public Utility Commission</w:t>
            </w:r>
          </w:p>
          <w:p w:rsidR="000D496A" w:rsidRPr="000C24B7" w:rsidRDefault="000D496A" w:rsidP="000C24B7">
            <w:pPr>
              <w:jc w:val="center"/>
              <w:rPr>
                <w:rFonts w:eastAsia="SimSun"/>
                <w:b/>
                <w:caps/>
              </w:rPr>
            </w:pPr>
          </w:p>
          <w:p w:rsidR="000D496A" w:rsidRPr="000C24B7" w:rsidRDefault="000D496A" w:rsidP="00A132A6">
            <w:pPr>
              <w:jc w:val="center"/>
              <w:rPr>
                <w:rFonts w:eastAsia="SimSun"/>
              </w:rPr>
            </w:pPr>
            <w:r w:rsidRPr="000C24B7">
              <w:rPr>
                <w:rFonts w:eastAsia="SimSun"/>
                <w:b/>
                <w:caps/>
              </w:rPr>
              <w:t>of Texas</w:t>
            </w:r>
          </w:p>
        </w:tc>
      </w:tr>
    </w:tbl>
    <w:p w:rsidR="000D496A" w:rsidRDefault="005D7C89" w:rsidP="00C72073">
      <w:pPr>
        <w:pStyle w:val="OrderTitle"/>
      </w:pPr>
      <w:r>
        <w:t>PROPOSED ORDER</w:t>
      </w:r>
    </w:p>
    <w:p w:rsidR="005D7C89" w:rsidRDefault="00577400" w:rsidP="001C0ACC">
      <w:pPr>
        <w:pStyle w:val="BodyTextIndented"/>
      </w:pPr>
      <w:r>
        <w:t xml:space="preserve">This Order </w:t>
      </w:r>
      <w:r w:rsidR="005911A9">
        <w:t xml:space="preserve">addresses </w:t>
      </w:r>
      <w:r w:rsidR="005D7C89">
        <w:t xml:space="preserve">the application of the </w:t>
      </w:r>
      <w:r w:rsidR="007D0D31">
        <w:t>City of Fair Oaks Ranch</w:t>
      </w:r>
      <w:r w:rsidR="005D7C89">
        <w:t xml:space="preserve"> to amend its water certificate of convenience and necessity (CCN) in Kendall County.  Commission Staff recommended dismissal</w:t>
      </w:r>
      <w:r w:rsidR="00B362D8">
        <w:t>, without prejudice</w:t>
      </w:r>
      <w:r w:rsidR="005D7C89">
        <w:t xml:space="preserve">.  This application is dismissed, without prejudice. </w:t>
      </w:r>
    </w:p>
    <w:p w:rsidR="008D1CA8" w:rsidRPr="008D1CA8" w:rsidRDefault="008D1CA8" w:rsidP="00C72073">
      <w:pPr>
        <w:pStyle w:val="BodyTextIndented"/>
        <w:numPr>
          <w:ilvl w:val="0"/>
          <w:numId w:val="18"/>
        </w:numPr>
        <w:spacing w:before="240" w:after="240"/>
        <w:ind w:left="720"/>
        <w:jc w:val="center"/>
        <w:rPr>
          <w:b/>
        </w:rPr>
      </w:pPr>
      <w:r w:rsidRPr="008D1CA8">
        <w:rPr>
          <w:b/>
        </w:rPr>
        <w:t>Background</w:t>
      </w:r>
    </w:p>
    <w:p w:rsidR="00B362D8" w:rsidRDefault="005D7C89" w:rsidP="001C0ACC">
      <w:pPr>
        <w:pStyle w:val="BodyTextIndented"/>
      </w:pPr>
      <w:r>
        <w:t>Fair Oaks entered into a development agreement with R.W. Pfeiffer Properties, LLC to develop a 345-acre tract of land that abuts</w:t>
      </w:r>
      <w:r w:rsidR="005911A9">
        <w:t xml:space="preserve"> the</w:t>
      </w:r>
      <w:r>
        <w:t xml:space="preserve"> Fair Oaks city limit.  </w:t>
      </w:r>
      <w:r w:rsidR="00B362D8">
        <w:t>That agreement requires Fair Oaks to serve the Pfeiffer property.  I</w:t>
      </w:r>
      <w:r>
        <w:t>n Docket No. 43666,</w:t>
      </w:r>
      <w:r w:rsidR="005911A9">
        <w:rPr>
          <w:rStyle w:val="FootnoteReference"/>
        </w:rPr>
        <w:footnoteReference w:id="1"/>
      </w:r>
      <w:r>
        <w:t xml:space="preserve"> Fair Oaks applied to amend its water and sewer CCN service areas to include the Pfeiffer</w:t>
      </w:r>
      <w:r w:rsidR="00B362D8">
        <w:t xml:space="preserve"> property</w:t>
      </w:r>
      <w:r>
        <w:t xml:space="preserve">, but Pfeiffer opted out of Fair Oaks proposed CCN service area.  Fair Oaks </w:t>
      </w:r>
      <w:r w:rsidR="00B362D8">
        <w:t xml:space="preserve">disputed </w:t>
      </w:r>
      <w:r w:rsidR="005911A9">
        <w:t xml:space="preserve">the opt-out, </w:t>
      </w:r>
      <w:r w:rsidR="00B362D8">
        <w:t xml:space="preserve">but ultimately </w:t>
      </w:r>
      <w:r>
        <w:t xml:space="preserve">removed the Pfeiffer tract from its application in </w:t>
      </w:r>
      <w:r w:rsidR="00617B7D">
        <w:t>D</w:t>
      </w:r>
      <w:r w:rsidR="00A505BE">
        <w:t>ocket No. 43666, and</w:t>
      </w:r>
      <w:bookmarkStart w:id="0" w:name="_GoBack"/>
      <w:bookmarkEnd w:id="0"/>
      <w:r>
        <w:t xml:space="preserve"> then filed suit to enforce the development agreement</w:t>
      </w:r>
      <w:r w:rsidR="00B362D8">
        <w:t xml:space="preserve"> in district court</w:t>
      </w:r>
      <w:r>
        <w:t>.</w:t>
      </w:r>
      <w:r w:rsidR="005911A9">
        <w:rPr>
          <w:rStyle w:val="FootnoteReference"/>
        </w:rPr>
        <w:footnoteReference w:id="2"/>
      </w:r>
      <w:r w:rsidR="008D1CA8">
        <w:t xml:space="preserve">  </w:t>
      </w:r>
      <w:r>
        <w:t>This application</w:t>
      </w:r>
      <w:r w:rsidR="00F139B9">
        <w:t xml:space="preserve"> to amend its water CCN No. 11246</w:t>
      </w:r>
      <w:r>
        <w:t xml:space="preserve"> </w:t>
      </w:r>
      <w:r w:rsidR="00F139B9">
        <w:t xml:space="preserve">is Fair Oaks’ </w:t>
      </w:r>
      <w:r w:rsidR="00B362D8">
        <w:t>second attempt</w:t>
      </w:r>
      <w:r>
        <w:t xml:space="preserve"> to add the Pfeiffer</w:t>
      </w:r>
      <w:r w:rsidR="00B362D8">
        <w:t xml:space="preserve"> tract to Fair Oaks</w:t>
      </w:r>
      <w:r w:rsidR="00F139B9">
        <w:t>’</w:t>
      </w:r>
      <w:r w:rsidR="00B362D8">
        <w:t xml:space="preserve"> water </w:t>
      </w:r>
      <w:r w:rsidR="00C72073">
        <w:t>service area</w:t>
      </w:r>
      <w:r w:rsidR="00B362D8">
        <w:t xml:space="preserve">. </w:t>
      </w:r>
    </w:p>
    <w:p w:rsidR="008D1CA8" w:rsidRDefault="00B362D8" w:rsidP="001C0ACC">
      <w:pPr>
        <w:pStyle w:val="BodyTextIndented"/>
      </w:pPr>
      <w:r>
        <w:t xml:space="preserve">Fair Oaks filed this application on September 14, 2016.  Commission Staff’s recommendation on administrative completeness was due on January 17, 2017, and Commission Staff recommended dismissal. </w:t>
      </w:r>
    </w:p>
    <w:p w:rsidR="00CE04D4" w:rsidRDefault="00CE04D4">
      <w:pPr>
        <w:jc w:val="left"/>
        <w:rPr>
          <w:rFonts w:eastAsia="SimSun"/>
          <w:b/>
          <w:szCs w:val="24"/>
          <w:lang w:eastAsia="zh-CN"/>
        </w:rPr>
      </w:pPr>
      <w:r>
        <w:rPr>
          <w:b/>
        </w:rPr>
        <w:br w:type="page"/>
      </w:r>
    </w:p>
    <w:p w:rsidR="008D1CA8" w:rsidRPr="008D1CA8" w:rsidRDefault="008D1CA8" w:rsidP="00C72073">
      <w:pPr>
        <w:pStyle w:val="BodyTextIndented"/>
        <w:numPr>
          <w:ilvl w:val="0"/>
          <w:numId w:val="18"/>
        </w:numPr>
        <w:spacing w:before="240" w:after="240"/>
        <w:ind w:left="720"/>
        <w:jc w:val="center"/>
        <w:rPr>
          <w:b/>
        </w:rPr>
      </w:pPr>
      <w:r w:rsidRPr="008D1CA8">
        <w:rPr>
          <w:b/>
        </w:rPr>
        <w:lastRenderedPageBreak/>
        <w:t>Commission Staff’s Recommendation</w:t>
      </w:r>
    </w:p>
    <w:p w:rsidR="00B362D8" w:rsidRDefault="005D7C89" w:rsidP="00C72073">
      <w:pPr>
        <w:pStyle w:val="BodyTextIndented"/>
      </w:pPr>
      <w:r>
        <w:t>Commission Staff recommended that the application be dismissed</w:t>
      </w:r>
      <w:r w:rsidR="00B362D8">
        <w:t xml:space="preserve"> for three reasons;</w:t>
      </w:r>
      <w:r>
        <w:t xml:space="preserve"> </w:t>
      </w:r>
      <w:r w:rsidRPr="005D7C89">
        <w:rPr>
          <w:i/>
        </w:rPr>
        <w:t>res judicata</w:t>
      </w:r>
      <w:r>
        <w:t>, unnecessary duplication of proceedings</w:t>
      </w:r>
      <w:r w:rsidR="00C72073">
        <w:t>,</w:t>
      </w:r>
      <w:r>
        <w:t xml:space="preserve"> or other good cause shown.</w:t>
      </w:r>
      <w:r w:rsidR="00F67833">
        <w:rPr>
          <w:rStyle w:val="FootnoteReference"/>
        </w:rPr>
        <w:footnoteReference w:id="3"/>
      </w:r>
      <w:r>
        <w:t xml:space="preserve">  </w:t>
      </w:r>
    </w:p>
    <w:p w:rsidR="005D7C89" w:rsidRDefault="005D7C89" w:rsidP="001C0ACC">
      <w:pPr>
        <w:pStyle w:val="BodyTextIndented"/>
      </w:pPr>
      <w:r>
        <w:t>Commission Staff stated</w:t>
      </w:r>
      <w:r w:rsidR="00F67833">
        <w:t xml:space="preserve"> that three elements must be proved to establish </w:t>
      </w:r>
      <w:r w:rsidR="00F67833" w:rsidRPr="00B362D8">
        <w:rPr>
          <w:i/>
        </w:rPr>
        <w:t>res judicata</w:t>
      </w:r>
      <w:r w:rsidR="00F67833">
        <w:t xml:space="preserve">: (1) a prior final judgment on the merits by a court of competent </w:t>
      </w:r>
      <w:r w:rsidR="00B362D8">
        <w:t>jurisdiction; (</w:t>
      </w:r>
      <w:r w:rsidR="00F67833">
        <w:t>2) identity of parties or those in privity with them; and (3) a second action based on the same claims that were raised or could have been raised in the first action.</w:t>
      </w:r>
      <w:r w:rsidR="00F67833">
        <w:rPr>
          <w:rStyle w:val="FootnoteReference"/>
        </w:rPr>
        <w:footnoteReference w:id="4"/>
      </w:r>
      <w:r w:rsidR="00F67833">
        <w:t xml:space="preserve">  Commission Staff stated </w:t>
      </w:r>
      <w:r>
        <w:t>that this case</w:t>
      </w:r>
      <w:r w:rsidR="00F67833">
        <w:t xml:space="preserve"> involves the same parties and</w:t>
      </w:r>
      <w:r>
        <w:t xml:space="preserve"> </w:t>
      </w:r>
      <w:r w:rsidR="00F67833">
        <w:t xml:space="preserve">claims </w:t>
      </w:r>
      <w:r>
        <w:t>as Docket No. 43666</w:t>
      </w:r>
      <w:r w:rsidR="00F67833">
        <w:t xml:space="preserve"> and the notice of approval in Docket No. 43666 constitutes a final judgment; therefore that the requirements for </w:t>
      </w:r>
      <w:r w:rsidR="00F67833" w:rsidRPr="00F67833">
        <w:rPr>
          <w:i/>
        </w:rPr>
        <w:t xml:space="preserve">res judicata </w:t>
      </w:r>
      <w:r w:rsidR="00F67833">
        <w:t>are satisfied.</w:t>
      </w:r>
      <w:r w:rsidR="00F67833">
        <w:rPr>
          <w:rStyle w:val="FootnoteReference"/>
        </w:rPr>
        <w:footnoteReference w:id="5"/>
      </w:r>
      <w:r w:rsidR="00F67833">
        <w:t xml:space="preserve"> </w:t>
      </w:r>
    </w:p>
    <w:p w:rsidR="00453CF3" w:rsidRDefault="00453CF3" w:rsidP="001C0ACC">
      <w:pPr>
        <w:pStyle w:val="BodyTextIndented"/>
        <w:ind w:firstLine="0"/>
      </w:pPr>
      <w:r>
        <w:tab/>
        <w:t xml:space="preserve">Commission Staff </w:t>
      </w:r>
      <w:r w:rsidR="00B362D8">
        <w:t xml:space="preserve">also </w:t>
      </w:r>
      <w:r>
        <w:t>recommends dismissal to avoid unnecessary duplication of proceedings.  Commission Staff stated that there is no indication in this application tha</w:t>
      </w:r>
      <w:r w:rsidR="00B362D8">
        <w:t>t Pfeiffer will not simply opt-</w:t>
      </w:r>
      <w:r>
        <w:t xml:space="preserve">out again, and that given the ongoing district court litigation between Fair Oaks and Pfeiffer and the lack of any indication that the temporary restraining order </w:t>
      </w:r>
      <w:r w:rsidR="00B362D8">
        <w:t xml:space="preserve">(TRO) </w:t>
      </w:r>
      <w:r>
        <w:t>issued against Pfeiffer</w:t>
      </w:r>
      <w:r w:rsidR="008D1CA8">
        <w:t>, that precludes Pfeiffer from electing to exclude its property from Fair Oaks water CCN,</w:t>
      </w:r>
      <w:r>
        <w:t xml:space="preserve"> has been converted to a temporary injunction</w:t>
      </w:r>
      <w:r w:rsidR="00B362D8">
        <w:t xml:space="preserve"> (TI)</w:t>
      </w:r>
      <w:r w:rsidR="00EE1B91">
        <w:t>, it seems like</w:t>
      </w:r>
      <w:r w:rsidR="00C72073">
        <w:t>ly</w:t>
      </w:r>
      <w:r w:rsidR="00EE1B91">
        <w:t xml:space="preserve"> Pfeiffer would in fact opt-</w:t>
      </w:r>
      <w:r>
        <w:t>out of Fair Oaks requested CCN again.</w:t>
      </w:r>
      <w:r>
        <w:rPr>
          <w:rStyle w:val="FootnoteReference"/>
        </w:rPr>
        <w:footnoteReference w:id="6"/>
      </w:r>
      <w:r>
        <w:t xml:space="preserve">  Therefore, in the absence of some indication </w:t>
      </w:r>
      <w:r w:rsidR="00F139B9">
        <w:t xml:space="preserve">in this docket that Pfeiffer </w:t>
      </w:r>
      <w:r>
        <w:t xml:space="preserve">desires to have the Pfeiffer tract included in Fair Oaks’ CCN, this proceeding is unnecessarily duplicative. </w:t>
      </w:r>
    </w:p>
    <w:p w:rsidR="00453CF3" w:rsidRDefault="00453CF3" w:rsidP="001C0ACC">
      <w:pPr>
        <w:pStyle w:val="BodyTextIndented"/>
      </w:pPr>
      <w:r>
        <w:t xml:space="preserve">Finally, Commission Staff stated that </w:t>
      </w:r>
      <w:r w:rsidR="008D1CA8">
        <w:t xml:space="preserve">although </w:t>
      </w:r>
      <w:r w:rsidR="00C72073">
        <w:t>Pfeiffer was not precluded from</w:t>
      </w:r>
      <w:r w:rsidR="008D1CA8">
        <w:t xml:space="preserve"> requesting to be added to Fair Oaks CCN at some time in the future</w:t>
      </w:r>
      <w:r w:rsidR="00EE1B91">
        <w:t>, Pfeiffer</w:t>
      </w:r>
      <w:r w:rsidR="008D1CA8">
        <w:t xml:space="preserve"> should not be subject to unsolicited attempts by Fair Oaks to add the Pfeiffer tract to its CCN.</w:t>
      </w:r>
      <w:r w:rsidR="008D1CA8" w:rsidRPr="00617B7D">
        <w:rPr>
          <w:rStyle w:val="FootnoteReference"/>
        </w:rPr>
        <w:footnoteReference w:id="7"/>
      </w:r>
      <w:r w:rsidR="008D1CA8">
        <w:t xml:space="preserve">  Therefore, Commission Staff </w:t>
      </w:r>
      <w:r w:rsidR="00003C2F">
        <w:t xml:space="preserve">recommended that </w:t>
      </w:r>
      <w:r w:rsidR="008D1CA8">
        <w:t xml:space="preserve">there is </w:t>
      </w:r>
      <w:r w:rsidR="00003C2F">
        <w:t xml:space="preserve">other </w:t>
      </w:r>
      <w:r w:rsidR="008D1CA8">
        <w:t xml:space="preserve">good cause to dismiss this application.  </w:t>
      </w:r>
    </w:p>
    <w:p w:rsidR="00CE04D4" w:rsidRDefault="00CE04D4">
      <w:pPr>
        <w:jc w:val="left"/>
        <w:rPr>
          <w:rFonts w:eastAsia="SimSun"/>
          <w:b/>
          <w:szCs w:val="24"/>
          <w:lang w:eastAsia="zh-CN"/>
        </w:rPr>
      </w:pPr>
      <w:r>
        <w:rPr>
          <w:b/>
        </w:rPr>
        <w:br w:type="page"/>
      </w:r>
    </w:p>
    <w:p w:rsidR="008D1CA8" w:rsidRPr="008D1CA8" w:rsidRDefault="003F4C1F" w:rsidP="00617B7D">
      <w:pPr>
        <w:pStyle w:val="BodyTextIndented"/>
        <w:numPr>
          <w:ilvl w:val="0"/>
          <w:numId w:val="18"/>
        </w:numPr>
        <w:spacing w:before="360" w:after="240"/>
        <w:ind w:left="720"/>
        <w:jc w:val="center"/>
        <w:rPr>
          <w:b/>
        </w:rPr>
      </w:pPr>
      <w:r>
        <w:rPr>
          <w:b/>
        </w:rPr>
        <w:lastRenderedPageBreak/>
        <w:t>Fair Oaks’</w:t>
      </w:r>
      <w:r w:rsidR="008D1CA8" w:rsidRPr="008D1CA8">
        <w:rPr>
          <w:b/>
        </w:rPr>
        <w:t xml:space="preserve"> Response</w:t>
      </w:r>
    </w:p>
    <w:p w:rsidR="008D1CA8" w:rsidRDefault="008D1CA8" w:rsidP="001C0ACC">
      <w:pPr>
        <w:pStyle w:val="BodyTextIndented"/>
      </w:pPr>
      <w:r>
        <w:t>Fair Oaks stated that the trial on the merits in its law suit against Pfeiffer is scheduled for March 8, 2017 in the 57</w:t>
      </w:r>
      <w:r w:rsidRPr="008D1CA8">
        <w:rPr>
          <w:vertAlign w:val="superscript"/>
        </w:rPr>
        <w:t>th</w:t>
      </w:r>
      <w:r>
        <w:t xml:space="preserve"> District Court of Bexar County.</w:t>
      </w:r>
      <w:r>
        <w:rPr>
          <w:rStyle w:val="FootnoteReference"/>
        </w:rPr>
        <w:footnoteReference w:id="8"/>
      </w:r>
      <w:r>
        <w:t xml:space="preserve">  Fair Oaks</w:t>
      </w:r>
      <w:r w:rsidR="004A3929">
        <w:t xml:space="preserve"> stated that Commission Staff’s concerns could be resolved with the forbearance of the Commission and </w:t>
      </w:r>
      <w:r>
        <w:t>delay</w:t>
      </w:r>
      <w:r w:rsidR="004A3929">
        <w:t>ing</w:t>
      </w:r>
      <w:r>
        <w:t xml:space="preserve"> action on this application for a defined period of time.</w:t>
      </w:r>
      <w:r>
        <w:rPr>
          <w:rStyle w:val="FootnoteReference"/>
        </w:rPr>
        <w:footnoteReference w:id="9"/>
      </w:r>
    </w:p>
    <w:p w:rsidR="00003C2F" w:rsidRDefault="00003C2F" w:rsidP="001C0ACC">
      <w:pPr>
        <w:pStyle w:val="BodyTextIndented"/>
      </w:pPr>
      <w:r>
        <w:t xml:space="preserve">Fair Oaks stated that with respect to </w:t>
      </w:r>
      <w:r w:rsidRPr="00EE1B91">
        <w:rPr>
          <w:i/>
        </w:rPr>
        <w:t>res judicata</w:t>
      </w:r>
      <w:r>
        <w:t>, the circumstances have changed since Docket No. 43666 because in 2014 Fair Oaks had not filed suit against Pfeiffer and obtained a trial date.</w:t>
      </w:r>
      <w:r>
        <w:rPr>
          <w:rStyle w:val="FootnoteReference"/>
        </w:rPr>
        <w:footnoteReference w:id="10"/>
      </w:r>
      <w:r>
        <w:t xml:space="preserve">  In the law suit, Fair Oaks seeks to assert Pfeiffer’s mandatory obligation under their development agreement and continues to seek a permanent injunction to prevent Pfeiffer from removing its property from this application.</w:t>
      </w:r>
      <w:r>
        <w:rPr>
          <w:rStyle w:val="FootnoteReference"/>
        </w:rPr>
        <w:footnoteReference w:id="11"/>
      </w:r>
      <w:r>
        <w:t xml:space="preserve">  Fair Oaks also stated that there has been no determination of the technical matters involved with inclusion of Pfeiffer’s tract in its water CCN because it was removed in Docket No. 43666; therefore that there has been no prior adjudication.</w:t>
      </w:r>
      <w:r>
        <w:rPr>
          <w:rStyle w:val="FootnoteReference"/>
        </w:rPr>
        <w:footnoteReference w:id="12"/>
      </w:r>
      <w:r>
        <w:t xml:space="preserve">  </w:t>
      </w:r>
    </w:p>
    <w:p w:rsidR="00003C2F" w:rsidRDefault="00003C2F" w:rsidP="001C0ACC">
      <w:pPr>
        <w:pStyle w:val="BodyTextIndented"/>
      </w:pPr>
      <w:r>
        <w:t>Fair Oaks explained the legal proceedings that involve the Pfeiffer property.  A TRO was obtained, preventing Pfeiffer from opting out of this application.  However, at a hearing conducted by a second trial judge, a TI was denied.</w:t>
      </w:r>
      <w:r>
        <w:rPr>
          <w:rStyle w:val="FootnoteReference"/>
        </w:rPr>
        <w:footnoteReference w:id="13"/>
      </w:r>
      <w:r>
        <w:t xml:space="preserve">  Thus, the only remedy for Fair Oaks was to seek equitable relief</w:t>
      </w:r>
      <w:r w:rsidR="00770313">
        <w:t xml:space="preserve"> against Pfeiffer</w:t>
      </w:r>
      <w:r>
        <w:t>, as opposed to monetary damages that are specifically disallowed by the</w:t>
      </w:r>
      <w:r w:rsidR="00770313">
        <w:t>ir</w:t>
      </w:r>
      <w:r>
        <w:t xml:space="preserve"> agreement.</w:t>
      </w:r>
      <w:r>
        <w:rPr>
          <w:rStyle w:val="FootnoteReference"/>
        </w:rPr>
        <w:footnoteReference w:id="14"/>
      </w:r>
      <w:r w:rsidR="00770313">
        <w:t xml:space="preserve">  In order to invoke the remedies set forth in their agreement, Fair Oaks must re-apply for a CCN extension and seek injunctive relief to prevent Pfeiffer from opting out again.</w:t>
      </w:r>
      <w:r w:rsidR="00EE1B91">
        <w:rPr>
          <w:rStyle w:val="FootnoteReference"/>
        </w:rPr>
        <w:footnoteReference w:id="15"/>
      </w:r>
      <w:r w:rsidR="00770313">
        <w:t xml:space="preserve">  Fair Oaks stated that the requirement of an actual legal controversy is the only way it can fulfill its obligations under and compel Pfeiffer’s compliance with their agreement.</w:t>
      </w:r>
      <w:r w:rsidR="00770313">
        <w:rPr>
          <w:rStyle w:val="FootnoteReference"/>
        </w:rPr>
        <w:footnoteReference w:id="16"/>
      </w:r>
    </w:p>
    <w:p w:rsidR="00770313" w:rsidRDefault="00770313" w:rsidP="001C0ACC">
      <w:pPr>
        <w:pStyle w:val="BodyTextIndented"/>
      </w:pPr>
      <w:r>
        <w:lastRenderedPageBreak/>
        <w:t>Fair Oaks argues that as to duplicate proceedings, there has not been an adjudication on the merits of their application and suggested that a duplication of proceedings can be avoided by simply abating this proceeding until after the Bexar County District Court has adjudicated Fair Oaks contractual claim and issued a permanent injunction against Pfeiffer from opting out.</w:t>
      </w:r>
      <w:r>
        <w:rPr>
          <w:rStyle w:val="FootnoteReference"/>
        </w:rPr>
        <w:footnoteReference w:id="17"/>
      </w:r>
      <w:r>
        <w:t xml:space="preserve">  Fair Oaks argues that such a delay would not be any additional administrative burden.</w:t>
      </w:r>
      <w:r>
        <w:rPr>
          <w:rStyle w:val="FootnoteReference"/>
        </w:rPr>
        <w:footnoteReference w:id="18"/>
      </w:r>
      <w:r>
        <w:t xml:space="preserve"> Finally, Fair Oaks states that based on its agreement with Pfeiffer, which obligates the city to serve Pfeiffer’s property, there has not been an unsolicited attempt to include Pfeiffer’s property in its CCN.</w:t>
      </w:r>
      <w:r>
        <w:rPr>
          <w:rStyle w:val="FootnoteReference"/>
        </w:rPr>
        <w:footnoteReference w:id="19"/>
      </w:r>
      <w:r>
        <w:t xml:space="preserve">  Fair Oaks stated that </w:t>
      </w:r>
      <w:r w:rsidR="00141995">
        <w:t xml:space="preserve">if </w:t>
      </w:r>
      <w:r>
        <w:t>it is required to undertake another filing after the conclusion of the court case, it will incur avoidable expenses.</w:t>
      </w:r>
      <w:r>
        <w:rPr>
          <w:rStyle w:val="FootnoteReference"/>
        </w:rPr>
        <w:footnoteReference w:id="20"/>
      </w:r>
      <w:r>
        <w:t xml:space="preserve">  Fair Oaks closed by requesting a 180-d</w:t>
      </w:r>
      <w:r w:rsidR="00EE1B91">
        <w:t>ay abatement, or until August 6,</w:t>
      </w:r>
      <w:r>
        <w:t xml:space="preserve"> 2017, at which time Commission Staff’s recommendation on administrative completeness </w:t>
      </w:r>
      <w:r w:rsidR="00C3234C">
        <w:t>would be issued and the application could proceed.</w:t>
      </w:r>
      <w:r w:rsidR="00C3234C">
        <w:rPr>
          <w:rStyle w:val="FootnoteReference"/>
        </w:rPr>
        <w:footnoteReference w:id="21"/>
      </w:r>
      <w:r>
        <w:t xml:space="preserve">  </w:t>
      </w:r>
    </w:p>
    <w:p w:rsidR="00C3234C" w:rsidRPr="00C3234C" w:rsidRDefault="00C3234C" w:rsidP="00617B7D">
      <w:pPr>
        <w:pStyle w:val="BodyTextIndented"/>
        <w:numPr>
          <w:ilvl w:val="0"/>
          <w:numId w:val="18"/>
        </w:numPr>
        <w:spacing w:before="360" w:after="240"/>
        <w:ind w:left="720"/>
        <w:jc w:val="center"/>
        <w:rPr>
          <w:b/>
        </w:rPr>
      </w:pPr>
      <w:r w:rsidRPr="00C3234C">
        <w:rPr>
          <w:b/>
        </w:rPr>
        <w:t>Pfeiffer Letter</w:t>
      </w:r>
    </w:p>
    <w:p w:rsidR="005D7C89" w:rsidRDefault="00C3234C" w:rsidP="001C0ACC">
      <w:pPr>
        <w:pStyle w:val="BodyTextIndented"/>
      </w:pPr>
      <w:r>
        <w:t>On February 7, 2017, Pfeiffer filed a letter in support of Fair Oaks’ request to abate this proceeding.</w:t>
      </w:r>
      <w:r>
        <w:rPr>
          <w:rStyle w:val="FootnoteReference"/>
        </w:rPr>
        <w:footnoteReference w:id="22"/>
      </w:r>
      <w:r>
        <w:t xml:space="preserve">  Pfeiffer stated that abatement would allow Fair Oaks and Pfeiffer to resolve the underlying litigation through alternative dispute resolution instead of litigation.</w:t>
      </w:r>
      <w:r>
        <w:rPr>
          <w:rStyle w:val="FootnoteReference"/>
        </w:rPr>
        <w:footnoteReference w:id="23"/>
      </w:r>
      <w:r>
        <w:t xml:space="preserve"> </w:t>
      </w:r>
    </w:p>
    <w:p w:rsidR="00C3234C" w:rsidRPr="00C3234C" w:rsidRDefault="00C3234C" w:rsidP="00617B7D">
      <w:pPr>
        <w:pStyle w:val="BodyTextIndented"/>
        <w:numPr>
          <w:ilvl w:val="0"/>
          <w:numId w:val="18"/>
        </w:numPr>
        <w:spacing w:before="360" w:after="240"/>
        <w:ind w:left="720"/>
        <w:jc w:val="center"/>
        <w:rPr>
          <w:b/>
        </w:rPr>
      </w:pPr>
      <w:r w:rsidRPr="00C3234C">
        <w:rPr>
          <w:b/>
        </w:rPr>
        <w:t>Conclusion</w:t>
      </w:r>
    </w:p>
    <w:p w:rsidR="00F139B9" w:rsidRDefault="00C3234C" w:rsidP="001C0ACC">
      <w:pPr>
        <w:pStyle w:val="BodyTextIndented"/>
      </w:pPr>
      <w:r>
        <w:t>The Commission a</w:t>
      </w:r>
      <w:r w:rsidR="00C53D75">
        <w:t>grees with Commission Staff</w:t>
      </w:r>
      <w:r>
        <w:t xml:space="preserve">.  </w:t>
      </w:r>
      <w:r w:rsidR="003A3453">
        <w:t xml:space="preserve"> </w:t>
      </w:r>
      <w:r>
        <w:t xml:space="preserve">Pfeiffer had the right to opt-out in Docket No. 43666 and has the right to ask to be included in Fair Oaks CCN at a later time.  </w:t>
      </w:r>
      <w:r w:rsidR="003A3453">
        <w:t>However</w:t>
      </w:r>
      <w:r w:rsidR="003F4C1F">
        <w:t>,</w:t>
      </w:r>
      <w:r w:rsidR="003A3453">
        <w:t xml:space="preserve"> and even though it is arguably not unsolicited, Fair Oaks should not have submitted the same application a second time without explicitly including Pfeiffer’</w:t>
      </w:r>
      <w:r w:rsidR="001D1349">
        <w:t>s consent; c</w:t>
      </w:r>
      <w:r w:rsidR="003A3453">
        <w:t>ertainly not while a dispute still exists wit</w:t>
      </w:r>
      <w:r w:rsidR="001D1349">
        <w:t xml:space="preserve">h Pfeiffer </w:t>
      </w:r>
      <w:r w:rsidR="003A3453">
        <w:t>that requires injunctive relief to prevent Pf</w:t>
      </w:r>
      <w:r w:rsidR="00164D54">
        <w:t>eiffer from opting-</w:t>
      </w:r>
      <w:r w:rsidR="003A3453">
        <w:t xml:space="preserve">out a </w:t>
      </w:r>
      <w:r w:rsidR="003A3453">
        <w:lastRenderedPageBreak/>
        <w:t xml:space="preserve">second time.  Fair Oaks’ application, without Pfeiffer’s consent, </w:t>
      </w:r>
      <w:r w:rsidR="001D1349">
        <w:t>does not</w:t>
      </w:r>
      <w:r w:rsidR="00F139B9">
        <w:t xml:space="preserve"> present a</w:t>
      </w:r>
      <w:r w:rsidR="001D1349">
        <w:t xml:space="preserve"> different circu</w:t>
      </w:r>
      <w:r w:rsidR="00F139B9">
        <w:t>mstance</w:t>
      </w:r>
      <w:r w:rsidR="00164D54">
        <w:t xml:space="preserve"> </w:t>
      </w:r>
      <w:r w:rsidR="00F139B9">
        <w:t xml:space="preserve">to </w:t>
      </w:r>
      <w:r w:rsidR="00164D54">
        <w:t xml:space="preserve">the Commission.  </w:t>
      </w:r>
    </w:p>
    <w:p w:rsidR="003A3453" w:rsidRDefault="00DB44F5" w:rsidP="001C0ACC">
      <w:pPr>
        <w:pStyle w:val="BodyTextIndented"/>
      </w:pPr>
      <w:r>
        <w:t>Additionally, a</w:t>
      </w:r>
      <w:r w:rsidR="00141995">
        <w:t xml:space="preserve"> pending law</w:t>
      </w:r>
      <w:r w:rsidR="001D1349">
        <w:t>suit on the underlying contract is not a changed circu</w:t>
      </w:r>
      <w:r w:rsidR="003F4C1F">
        <w:t>mstance for this application.  T</w:t>
      </w:r>
      <w:r w:rsidR="001D1349">
        <w:t xml:space="preserve">his application </w:t>
      </w:r>
      <w:r w:rsidR="003A3453">
        <w:t xml:space="preserve">is indeed the same parties and claim, and </w:t>
      </w:r>
      <w:r w:rsidR="00164D54">
        <w:t xml:space="preserve">in the absence of Pfeiffer’s consent, </w:t>
      </w:r>
      <w:r w:rsidR="003A3453">
        <w:t>there has b</w:t>
      </w:r>
      <w:r w:rsidR="001D1349">
        <w:t>een a final adjudication on the</w:t>
      </w:r>
      <w:r w:rsidR="003A3453">
        <w:t xml:space="preserve"> matter.  Therefore, this application is barred by </w:t>
      </w:r>
      <w:r w:rsidR="003A3453" w:rsidRPr="003A3453">
        <w:rPr>
          <w:i/>
        </w:rPr>
        <w:t>res judicata</w:t>
      </w:r>
      <w:r w:rsidR="00164D54">
        <w:rPr>
          <w:i/>
        </w:rPr>
        <w:t xml:space="preserve"> </w:t>
      </w:r>
      <w:r w:rsidR="00164D54" w:rsidRPr="00164D54">
        <w:t>and it is an unnecessary duplication of proceedings</w:t>
      </w:r>
      <w:r w:rsidR="003A3453" w:rsidRPr="00164D54">
        <w:t xml:space="preserve">. </w:t>
      </w:r>
    </w:p>
    <w:p w:rsidR="00164D54" w:rsidRDefault="003A3453" w:rsidP="001C0ACC">
      <w:pPr>
        <w:pStyle w:val="BodyTextIndented"/>
      </w:pPr>
      <w:r>
        <w:t xml:space="preserve">Additionally, </w:t>
      </w:r>
      <w:r w:rsidR="001D1349">
        <w:t xml:space="preserve">there is other good cause.  </w:t>
      </w:r>
      <w:r w:rsidR="00164D54">
        <w:t xml:space="preserve">Commission Staff was unable to make a recommendation on </w:t>
      </w:r>
      <w:r w:rsidR="00DB44F5">
        <w:t xml:space="preserve">the </w:t>
      </w:r>
      <w:r w:rsidR="00164D54">
        <w:t>administrative completeness</w:t>
      </w:r>
      <w:r w:rsidR="00DB44F5">
        <w:t xml:space="preserve"> of Fair Oaks’ application</w:t>
      </w:r>
      <w:r w:rsidR="00164D54">
        <w:t xml:space="preserve">; but rather </w:t>
      </w:r>
      <w:r w:rsidR="00DB44F5">
        <w:t xml:space="preserve">recommended dismissal for reasons that </w:t>
      </w:r>
      <w:r w:rsidR="00C53D75">
        <w:t xml:space="preserve">Fair Oaks can do nothing to </w:t>
      </w:r>
      <w:r w:rsidR="00DB44F5">
        <w:t xml:space="preserve">address and resolve </w:t>
      </w:r>
      <w:r w:rsidR="00C53D75">
        <w:t xml:space="preserve">until </w:t>
      </w:r>
      <w:r w:rsidR="00DB44F5">
        <w:t xml:space="preserve">the pending </w:t>
      </w:r>
      <w:r w:rsidR="00C53D75">
        <w:t>litigation</w:t>
      </w:r>
      <w:r w:rsidR="00EE1B91">
        <w:t xml:space="preserve"> between the parties </w:t>
      </w:r>
      <w:r>
        <w:t>to the</w:t>
      </w:r>
      <w:r w:rsidR="00EE1B91">
        <w:t xml:space="preserve"> contract that is basis for this application</w:t>
      </w:r>
      <w:r w:rsidR="00C53D75">
        <w:t xml:space="preserve"> is concluded, and only then if the conclusion is in Fair Oaks</w:t>
      </w:r>
      <w:r>
        <w:t>’</w:t>
      </w:r>
      <w:r w:rsidR="001D1349">
        <w:t xml:space="preserve"> favor.  </w:t>
      </w:r>
      <w:r w:rsidR="00DB44F5">
        <w:t xml:space="preserve">Therefore, Fair Oaks’ </w:t>
      </w:r>
      <w:r w:rsidR="003E68A9">
        <w:t xml:space="preserve">is requesting a lengthy abatement in an </w:t>
      </w:r>
      <w:r w:rsidR="00DB44F5">
        <w:t xml:space="preserve">application </w:t>
      </w:r>
      <w:r w:rsidR="003E68A9">
        <w:t xml:space="preserve">that </w:t>
      </w:r>
      <w:r w:rsidR="00DB44F5">
        <w:t>is not yet considered filed with the Commission</w:t>
      </w:r>
      <w:r w:rsidR="00F57089">
        <w:t>.</w:t>
      </w:r>
      <w:r w:rsidR="00DB44F5">
        <w:rPr>
          <w:rStyle w:val="FootnoteReference"/>
        </w:rPr>
        <w:footnoteReference w:id="24"/>
      </w:r>
      <w:r w:rsidR="00DB44F5">
        <w:t xml:space="preserve">  </w:t>
      </w:r>
    </w:p>
    <w:p w:rsidR="003E68A9" w:rsidRDefault="001D1349" w:rsidP="001C0ACC">
      <w:pPr>
        <w:pStyle w:val="BodyTextIndented"/>
      </w:pPr>
      <w:r>
        <w:t xml:space="preserve">Although Pfeiffer filed a letter in support of Fair Oaks’ requested abatement, that letter did not indicate that these parties’ legal issues have neared resolution.  </w:t>
      </w:r>
      <w:r w:rsidR="00DB44F5">
        <w:t>For this reason,</w:t>
      </w:r>
      <w:r>
        <w:t xml:space="preserve"> </w:t>
      </w:r>
      <w:r w:rsidR="00DB44F5">
        <w:t xml:space="preserve">and because Fair Oaks </w:t>
      </w:r>
      <w:r w:rsidR="003E68A9">
        <w:t xml:space="preserve">continues to need and </w:t>
      </w:r>
      <w:r w:rsidR="00DB44F5">
        <w:t xml:space="preserve">has been unable to get </w:t>
      </w:r>
      <w:r w:rsidR="003E68A9">
        <w:t xml:space="preserve">permanent </w:t>
      </w:r>
      <w:r w:rsidR="00DB44F5">
        <w:t xml:space="preserve">injunctive relief, </w:t>
      </w:r>
      <w:r>
        <w:t xml:space="preserve">there is no reason for this Commission to believe that </w:t>
      </w:r>
      <w:r w:rsidR="003E68A9">
        <w:t>the pending litigation between Fair Oaks and Pfeiffer will be resolved in Fair Oaks favor or that their dispute will be resolved</w:t>
      </w:r>
      <w:r w:rsidR="00DB44F5">
        <w:t xml:space="preserve"> expeditiously.</w:t>
      </w:r>
      <w:r>
        <w:t xml:space="preserve"> </w:t>
      </w:r>
      <w:r w:rsidR="00DB44F5">
        <w:t xml:space="preserve"> </w:t>
      </w:r>
      <w:r>
        <w:t xml:space="preserve">Further, although a trial date has been set, there is nothing that obligates the trial court to complete that proceeding and all follow up matters by August 6, 2017, or at any given time.  </w:t>
      </w:r>
    </w:p>
    <w:p w:rsidR="00C53D75" w:rsidRDefault="00DB44F5" w:rsidP="001C0ACC">
      <w:pPr>
        <w:pStyle w:val="BodyTextIndented"/>
      </w:pPr>
      <w:r>
        <w:t>The Commission concludes that a</w:t>
      </w:r>
      <w:r w:rsidR="00164D54">
        <w:t xml:space="preserve">bating this application under these circumstances is inappropriate.  </w:t>
      </w:r>
      <w:r>
        <w:t xml:space="preserve">The Commission cannot predict when or how the litigation between Fair Oaks and Pfeiffer will be resolved.  </w:t>
      </w:r>
      <w:r w:rsidR="003E68A9">
        <w:t>Without Pfeiffer’s consent</w:t>
      </w:r>
      <w:r w:rsidR="00F57089">
        <w:t>, a permanent injunction preventing Pfeiffer from opting-out of Fair Oaks’ CCN service area,</w:t>
      </w:r>
      <w:r w:rsidR="003E68A9">
        <w:t xml:space="preserve"> or a litigation resolution in its favor, Fair Oaks’ application was premature; it is barred by</w:t>
      </w:r>
      <w:r w:rsidR="003E68A9" w:rsidRPr="003E68A9">
        <w:rPr>
          <w:i/>
        </w:rPr>
        <w:t xml:space="preserve"> res</w:t>
      </w:r>
      <w:r w:rsidR="003E68A9">
        <w:t xml:space="preserve"> </w:t>
      </w:r>
      <w:r w:rsidR="003E68A9" w:rsidRPr="003E68A9">
        <w:rPr>
          <w:i/>
        </w:rPr>
        <w:t>judicata</w:t>
      </w:r>
      <w:r w:rsidR="003E68A9">
        <w:t xml:space="preserve">, it is an unnecessary duplication of proceedings and there is other good cause for dismissal.  </w:t>
      </w:r>
      <w:r w:rsidR="00C53D75">
        <w:t>For</w:t>
      </w:r>
      <w:r w:rsidR="003A3453">
        <w:t xml:space="preserve"> all</w:t>
      </w:r>
      <w:r w:rsidR="00C53D75">
        <w:t xml:space="preserve"> these reasons, the Commission dismisses this application</w:t>
      </w:r>
      <w:r w:rsidR="00EE1B91">
        <w:t>, without prejudice</w:t>
      </w:r>
      <w:r w:rsidR="00C53D75">
        <w:t xml:space="preserve">.  </w:t>
      </w:r>
    </w:p>
    <w:p w:rsidR="00C53D75" w:rsidRDefault="00C53D75" w:rsidP="001C0ACC">
      <w:pPr>
        <w:pStyle w:val="BodyTextIndented"/>
      </w:pPr>
      <w:r>
        <w:t>The Commission adopts the following findings of fact and conclusions of law:</w:t>
      </w:r>
    </w:p>
    <w:p w:rsidR="009916D4" w:rsidRPr="009916D4" w:rsidRDefault="009916D4" w:rsidP="009916D4">
      <w:pPr>
        <w:pStyle w:val="BodyTextIndented"/>
        <w:numPr>
          <w:ilvl w:val="0"/>
          <w:numId w:val="18"/>
        </w:numPr>
        <w:spacing w:before="360" w:after="240"/>
        <w:ind w:left="720"/>
        <w:jc w:val="center"/>
        <w:rPr>
          <w:b/>
        </w:rPr>
      </w:pPr>
      <w:r w:rsidRPr="009916D4">
        <w:rPr>
          <w:b/>
        </w:rPr>
        <w:lastRenderedPageBreak/>
        <w:t xml:space="preserve">Findings of Fact </w:t>
      </w:r>
    </w:p>
    <w:p w:rsidR="00AE32E2" w:rsidRPr="00AE32E2" w:rsidRDefault="00AE32E2" w:rsidP="00AE32E2">
      <w:pPr>
        <w:pStyle w:val="BodyTextIndented"/>
        <w:ind w:firstLine="0"/>
        <w:rPr>
          <w:b/>
          <w:i/>
          <w:sz w:val="22"/>
          <w:szCs w:val="22"/>
          <w:u w:val="single"/>
        </w:rPr>
      </w:pPr>
      <w:r w:rsidRPr="00AE32E2">
        <w:rPr>
          <w:b/>
          <w:i/>
          <w:sz w:val="22"/>
          <w:szCs w:val="22"/>
          <w:u w:val="single"/>
        </w:rPr>
        <w:t>Procedural history</w:t>
      </w:r>
      <w:r>
        <w:rPr>
          <w:b/>
          <w:i/>
          <w:sz w:val="22"/>
          <w:szCs w:val="22"/>
          <w:u w:val="single"/>
        </w:rPr>
        <w:t xml:space="preserve"> and background</w:t>
      </w:r>
    </w:p>
    <w:p w:rsidR="00AE32E2" w:rsidRDefault="009916D4" w:rsidP="0011060B">
      <w:pPr>
        <w:pStyle w:val="BodyTextIndented"/>
        <w:numPr>
          <w:ilvl w:val="0"/>
          <w:numId w:val="19"/>
        </w:numPr>
        <w:ind w:left="720"/>
      </w:pPr>
      <w:r w:rsidRPr="009B033F">
        <w:t>On</w:t>
      </w:r>
      <w:r>
        <w:t xml:space="preserve"> September 14, 2016, Fair Oaks filed an application to amend its water </w:t>
      </w:r>
      <w:r w:rsidR="00CD4FCA">
        <w:t>CCN No.</w:t>
      </w:r>
      <w:r>
        <w:t xml:space="preserve"> 11246 in Kendall County.  </w:t>
      </w:r>
    </w:p>
    <w:p w:rsidR="009916D4" w:rsidRDefault="00F139B9" w:rsidP="0011060B">
      <w:pPr>
        <w:pStyle w:val="BodyTextIndented"/>
        <w:numPr>
          <w:ilvl w:val="0"/>
          <w:numId w:val="19"/>
        </w:numPr>
        <w:ind w:left="720"/>
      </w:pPr>
      <w:r>
        <w:t>Fair Oaks</w:t>
      </w:r>
      <w:r w:rsidR="009916D4">
        <w:t xml:space="preserve"> seeks to serve </w:t>
      </w:r>
      <w:r w:rsidR="00141995">
        <w:t>an approximately 345-</w:t>
      </w:r>
      <w:r>
        <w:t xml:space="preserve">acre proposed master-planned community, </w:t>
      </w:r>
      <w:r w:rsidR="00AE32E2">
        <w:t>“The Reserve at Fair Oaks Ranch,</w:t>
      </w:r>
      <w:r>
        <w:t>”</w:t>
      </w:r>
      <w:r w:rsidR="00AE32E2">
        <w:t xml:space="preserve"> that is owned and will be developed by Pfeiffer.</w:t>
      </w:r>
    </w:p>
    <w:p w:rsidR="009916D4" w:rsidRDefault="008B2575" w:rsidP="0011060B">
      <w:pPr>
        <w:pStyle w:val="BodyTextIndented"/>
        <w:numPr>
          <w:ilvl w:val="0"/>
          <w:numId w:val="19"/>
        </w:numPr>
        <w:ind w:left="720"/>
      </w:pPr>
      <w:r>
        <w:t>On September 19, 201</w:t>
      </w:r>
      <w:r w:rsidR="002D03F5">
        <w:t>6</w:t>
      </w:r>
      <w:r>
        <w:t xml:space="preserve">, </w:t>
      </w:r>
      <w:r w:rsidR="009916D4">
        <w:t xml:space="preserve">Order No. 1 was issued, </w:t>
      </w:r>
      <w:r>
        <w:t>r</w:t>
      </w:r>
      <w:r w:rsidRPr="008B2575">
        <w:t xml:space="preserve">equiring </w:t>
      </w:r>
      <w:r>
        <w:t>c</w:t>
      </w:r>
      <w:r w:rsidRPr="008B2575">
        <w:t xml:space="preserve">omments </w:t>
      </w:r>
      <w:r>
        <w:t>o</w:t>
      </w:r>
      <w:r w:rsidRPr="008B2575">
        <w:t xml:space="preserve">n </w:t>
      </w:r>
      <w:r>
        <w:t>a</w:t>
      </w:r>
      <w:r w:rsidRPr="008B2575">
        <w:t xml:space="preserve">dministrative </w:t>
      </w:r>
      <w:r>
        <w:t>c</w:t>
      </w:r>
      <w:r w:rsidRPr="008B2575">
        <w:t xml:space="preserve">ompleteness </w:t>
      </w:r>
      <w:r>
        <w:t>a</w:t>
      </w:r>
      <w:r w:rsidRPr="008B2575">
        <w:t xml:space="preserve">nd </w:t>
      </w:r>
      <w:r>
        <w:t>n</w:t>
      </w:r>
      <w:r w:rsidRPr="008B2575">
        <w:t>otice</w:t>
      </w:r>
      <w:r>
        <w:t>.</w:t>
      </w:r>
    </w:p>
    <w:p w:rsidR="00F139B9" w:rsidRDefault="002D03F5" w:rsidP="0011060B">
      <w:pPr>
        <w:pStyle w:val="BodyTextIndented"/>
        <w:numPr>
          <w:ilvl w:val="0"/>
          <w:numId w:val="19"/>
        </w:numPr>
        <w:ind w:left="720"/>
      </w:pPr>
      <w:r>
        <w:t xml:space="preserve">On October 13, 2016, Fair Oaks </w:t>
      </w:r>
      <w:r w:rsidR="00141995">
        <w:t xml:space="preserve">and </w:t>
      </w:r>
      <w:r>
        <w:t xml:space="preserve">Commission Staff filed a joint motion for extension of time to respond to Order No. 1.  </w:t>
      </w:r>
    </w:p>
    <w:p w:rsidR="002D03F5" w:rsidRDefault="002D03F5" w:rsidP="0011060B">
      <w:pPr>
        <w:pStyle w:val="BodyTextIndented"/>
        <w:numPr>
          <w:ilvl w:val="0"/>
          <w:numId w:val="19"/>
        </w:numPr>
        <w:ind w:left="720"/>
      </w:pPr>
      <w:r>
        <w:t xml:space="preserve">On October 14, 2016, Order No. 2 was issued granting that extension. </w:t>
      </w:r>
    </w:p>
    <w:p w:rsidR="00F139B9" w:rsidRDefault="00F139B9" w:rsidP="0011060B">
      <w:pPr>
        <w:pStyle w:val="BodyTextIndented"/>
        <w:numPr>
          <w:ilvl w:val="0"/>
          <w:numId w:val="19"/>
        </w:numPr>
        <w:ind w:left="720"/>
      </w:pPr>
      <w:r>
        <w:t>On November 18, 2016, Fair Oaks and Commission Staff jointly requested a</w:t>
      </w:r>
      <w:r w:rsidR="00AE32E2">
        <w:t xml:space="preserve"> </w:t>
      </w:r>
      <w:r>
        <w:t>deadline for Commission Staff’s recommendation on administrative completeness.</w:t>
      </w:r>
    </w:p>
    <w:p w:rsidR="002D03F5" w:rsidRDefault="002D03F5" w:rsidP="0011060B">
      <w:pPr>
        <w:pStyle w:val="BodyTextIndented"/>
        <w:numPr>
          <w:ilvl w:val="0"/>
          <w:numId w:val="19"/>
        </w:numPr>
        <w:ind w:left="720"/>
      </w:pPr>
      <w:r>
        <w:t>On November 22, 2016, Order No. 3 was i</w:t>
      </w:r>
      <w:r w:rsidR="00F139B9">
        <w:t xml:space="preserve">ssued, establishing a January 17, 2017 </w:t>
      </w:r>
      <w:r>
        <w:t xml:space="preserve">deadline for Commission Staff to file a recommendation on administrative completeness of the application. </w:t>
      </w:r>
    </w:p>
    <w:p w:rsidR="008B2575" w:rsidRDefault="008B2575" w:rsidP="0011060B">
      <w:pPr>
        <w:pStyle w:val="BodyTextIndented"/>
        <w:numPr>
          <w:ilvl w:val="0"/>
          <w:numId w:val="19"/>
        </w:numPr>
        <w:ind w:left="720"/>
      </w:pPr>
      <w:r>
        <w:t xml:space="preserve">On January 17, 2017, Commission Staff filed a motion to dismiss. </w:t>
      </w:r>
    </w:p>
    <w:p w:rsidR="009916D4" w:rsidRDefault="009916D4" w:rsidP="0011060B">
      <w:pPr>
        <w:pStyle w:val="BodyTextIndented"/>
        <w:numPr>
          <w:ilvl w:val="0"/>
          <w:numId w:val="19"/>
        </w:numPr>
        <w:ind w:left="720"/>
      </w:pPr>
      <w:r>
        <w:t xml:space="preserve">On February 6, 2017, </w:t>
      </w:r>
      <w:r w:rsidR="00F139B9">
        <w:t>Fair Oaks</w:t>
      </w:r>
      <w:r>
        <w:t xml:space="preserve"> responded to Commission Staff’s motion to dismiss.  </w:t>
      </w:r>
    </w:p>
    <w:p w:rsidR="001C0ACC" w:rsidRDefault="009916D4" w:rsidP="0011060B">
      <w:pPr>
        <w:pStyle w:val="BodyTextIndented"/>
        <w:numPr>
          <w:ilvl w:val="0"/>
          <w:numId w:val="19"/>
        </w:numPr>
        <w:ind w:left="720"/>
      </w:pPr>
      <w:r>
        <w:t xml:space="preserve">On February 7, 2017, Pfeiffer </w:t>
      </w:r>
      <w:r w:rsidR="00F139B9">
        <w:t xml:space="preserve">filed an advisory letter. </w:t>
      </w:r>
    </w:p>
    <w:p w:rsidR="00F139B9" w:rsidRDefault="00F139B9" w:rsidP="0011060B">
      <w:pPr>
        <w:pStyle w:val="BodyTextIndented"/>
        <w:numPr>
          <w:ilvl w:val="0"/>
          <w:numId w:val="19"/>
        </w:numPr>
        <w:ind w:left="720"/>
      </w:pPr>
      <w:r>
        <w:t xml:space="preserve">On March 2, 2017, Fair Oaks re-urged its request to abate this proceeding pending the outcome of the District Court proceeding.  </w:t>
      </w:r>
    </w:p>
    <w:p w:rsidR="001C0ACC" w:rsidRPr="00AE32E2" w:rsidRDefault="001C0ACC" w:rsidP="001C0ACC">
      <w:pPr>
        <w:pStyle w:val="FOFNumbered"/>
        <w:numPr>
          <w:ilvl w:val="0"/>
          <w:numId w:val="0"/>
        </w:numPr>
        <w:rPr>
          <w:b/>
          <w:i/>
          <w:sz w:val="22"/>
          <w:szCs w:val="22"/>
          <w:u w:val="single"/>
        </w:rPr>
      </w:pPr>
      <w:r w:rsidRPr="00AE32E2">
        <w:rPr>
          <w:b/>
          <w:i/>
          <w:sz w:val="22"/>
          <w:szCs w:val="22"/>
          <w:u w:val="single"/>
        </w:rPr>
        <w:t>Informal Disposition</w:t>
      </w:r>
    </w:p>
    <w:p w:rsidR="00F139B9" w:rsidRDefault="00F139B9" w:rsidP="005B2B3B">
      <w:pPr>
        <w:pStyle w:val="BodyTextIndented"/>
        <w:numPr>
          <w:ilvl w:val="0"/>
          <w:numId w:val="19"/>
        </w:numPr>
        <w:ind w:left="720"/>
      </w:pPr>
      <w:r>
        <w:t>Commission Staff and Fair Oaks are the only parties to this proceeding.</w:t>
      </w:r>
    </w:p>
    <w:p w:rsidR="001C0ACC" w:rsidRPr="001C0ACC" w:rsidRDefault="001C0ACC" w:rsidP="005B2B3B">
      <w:pPr>
        <w:pStyle w:val="BodyTextIndented"/>
        <w:numPr>
          <w:ilvl w:val="0"/>
          <w:numId w:val="19"/>
        </w:numPr>
        <w:ind w:left="720"/>
      </w:pPr>
      <w:r w:rsidRPr="001C0ACC">
        <w:t>More than 15 days have passed since the completion of the notice provided in this docket.</w:t>
      </w:r>
    </w:p>
    <w:p w:rsidR="005B2B3B" w:rsidRPr="00141995" w:rsidRDefault="001C0ACC" w:rsidP="00141995">
      <w:pPr>
        <w:pStyle w:val="BodyTextIndented"/>
        <w:numPr>
          <w:ilvl w:val="0"/>
          <w:numId w:val="19"/>
        </w:numPr>
        <w:ind w:left="720"/>
      </w:pPr>
      <w:r w:rsidRPr="001C0ACC">
        <w:t xml:space="preserve">No protests have been filed. No requests for hearing have been filed. No issues of fact or law are disputed by any party; therefore, no hearing is necessary. </w:t>
      </w:r>
      <w:r w:rsidR="005B2B3B" w:rsidRPr="00141995">
        <w:rPr>
          <w:b/>
        </w:rPr>
        <w:br w:type="page"/>
      </w:r>
    </w:p>
    <w:p w:rsidR="009916D4" w:rsidRPr="009916D4" w:rsidRDefault="009916D4" w:rsidP="009916D4">
      <w:pPr>
        <w:pStyle w:val="BodyTextIndented"/>
        <w:numPr>
          <w:ilvl w:val="0"/>
          <w:numId w:val="18"/>
        </w:numPr>
        <w:spacing w:before="360" w:after="240"/>
        <w:ind w:left="720"/>
        <w:jc w:val="center"/>
        <w:rPr>
          <w:b/>
        </w:rPr>
      </w:pPr>
      <w:r w:rsidRPr="009916D4">
        <w:rPr>
          <w:b/>
        </w:rPr>
        <w:lastRenderedPageBreak/>
        <w:t xml:space="preserve">Conclusions of Law </w:t>
      </w:r>
    </w:p>
    <w:p w:rsidR="002D03F5" w:rsidRDefault="002D03F5" w:rsidP="002D03F5">
      <w:pPr>
        <w:pStyle w:val="BodyTextIndented"/>
        <w:numPr>
          <w:ilvl w:val="0"/>
          <w:numId w:val="21"/>
        </w:numPr>
        <w:ind w:hanging="720"/>
      </w:pPr>
      <w:r>
        <w:t xml:space="preserve">The Commission has jurisdiction and authority over this docket </w:t>
      </w:r>
      <w:r w:rsidR="00141995">
        <w:t>under</w:t>
      </w:r>
      <w:r>
        <w:t xml:space="preserve"> TWC §§ 13.041, 13.241, 13.244, 13.246, and 13.254 and 16 TAC §§ 24.101, 24.102, and 24.113.</w:t>
      </w:r>
    </w:p>
    <w:p w:rsidR="009916D4" w:rsidRDefault="009916D4" w:rsidP="0011060B">
      <w:pPr>
        <w:pStyle w:val="BodyTextIndented"/>
        <w:numPr>
          <w:ilvl w:val="0"/>
          <w:numId w:val="21"/>
        </w:numPr>
        <w:ind w:hanging="720"/>
      </w:pPr>
      <w:r>
        <w:t>In accordance with 16 T</w:t>
      </w:r>
      <w:r w:rsidR="005B2B3B">
        <w:t>AC</w:t>
      </w:r>
      <w:r>
        <w:t xml:space="preserve"> § 24.8(a), an application s</w:t>
      </w:r>
      <w:r w:rsidRPr="009916D4">
        <w:t xml:space="preserve">hall be reviewed for administrative completeness within 30 calendar days from the date the application is file stamped by the commission’s Central Records office. </w:t>
      </w:r>
      <w:r>
        <w:t xml:space="preserve"> </w:t>
      </w:r>
      <w:r w:rsidRPr="009916D4">
        <w:t>If the applicant is required to issue notice, the applicant shall be notified upon determination that the notice or application is administratively complete.</w:t>
      </w:r>
    </w:p>
    <w:p w:rsidR="009916D4" w:rsidRDefault="009916D4" w:rsidP="0011060B">
      <w:pPr>
        <w:pStyle w:val="BodyTextIndented"/>
        <w:numPr>
          <w:ilvl w:val="0"/>
          <w:numId w:val="21"/>
        </w:numPr>
        <w:ind w:hanging="720"/>
      </w:pPr>
      <w:r>
        <w:t>Under 16 TAC §24.8(d), a</w:t>
      </w:r>
      <w:r w:rsidRPr="009916D4">
        <w:t>pplications under subchapter G of chapter 24 are not considered filed until the commission makes a determination that the application is administratively complete.</w:t>
      </w:r>
    </w:p>
    <w:p w:rsidR="00F139B9" w:rsidRDefault="00F139B9" w:rsidP="0011060B">
      <w:pPr>
        <w:pStyle w:val="BodyTextIndented"/>
        <w:numPr>
          <w:ilvl w:val="0"/>
          <w:numId w:val="21"/>
        </w:numPr>
        <w:ind w:hanging="720"/>
      </w:pPr>
      <w:r>
        <w:t xml:space="preserve">Commission Staff has demonstrated that dismissal is appropriate under the doctrine of </w:t>
      </w:r>
      <w:r w:rsidRPr="00F139B9">
        <w:rPr>
          <w:i/>
        </w:rPr>
        <w:t>res judicata</w:t>
      </w:r>
      <w:r>
        <w:t xml:space="preserve">, because without dismissal there will be an unnecessary duplication of proceedings, and for other good cause.  </w:t>
      </w:r>
    </w:p>
    <w:p w:rsidR="00AE32E2" w:rsidRDefault="00AE32E2" w:rsidP="00AE32E2">
      <w:pPr>
        <w:pStyle w:val="FOFNumbered"/>
        <w:numPr>
          <w:ilvl w:val="0"/>
          <w:numId w:val="21"/>
        </w:numPr>
        <w:ind w:hanging="720"/>
      </w:pPr>
      <w:r w:rsidRPr="00DE7162">
        <w:t xml:space="preserve">The criteria for informal disposition </w:t>
      </w:r>
      <w:r w:rsidR="00141995">
        <w:t>under</w:t>
      </w:r>
      <w:r w:rsidRPr="00DE7162">
        <w:t xml:space="preserve"> 16 T</w:t>
      </w:r>
      <w:r w:rsidR="005B2B3B">
        <w:t>AC</w:t>
      </w:r>
      <w:r w:rsidRPr="00DE7162">
        <w:t xml:space="preserve"> § 22.35 have been satisfied in this proceeding</w:t>
      </w:r>
      <w:r>
        <w:t>.</w:t>
      </w:r>
    </w:p>
    <w:p w:rsidR="009916D4" w:rsidRPr="008B2575" w:rsidRDefault="008B2575" w:rsidP="008B2575">
      <w:pPr>
        <w:pStyle w:val="BodyTextIndented"/>
        <w:numPr>
          <w:ilvl w:val="0"/>
          <w:numId w:val="18"/>
        </w:numPr>
        <w:spacing w:before="360" w:after="240"/>
        <w:ind w:left="720"/>
        <w:jc w:val="center"/>
        <w:rPr>
          <w:b/>
        </w:rPr>
      </w:pPr>
      <w:r w:rsidRPr="008B2575">
        <w:rPr>
          <w:b/>
        </w:rPr>
        <w:t>Ordering Paragraphs</w:t>
      </w:r>
    </w:p>
    <w:p w:rsidR="005B2B3B" w:rsidRPr="005B2B3B" w:rsidRDefault="005B2B3B" w:rsidP="005B2B3B">
      <w:pPr>
        <w:kinsoku w:val="0"/>
        <w:overflowPunct w:val="0"/>
        <w:spacing w:before="120" w:line="360" w:lineRule="auto"/>
        <w:ind w:firstLine="720"/>
        <w:textAlignment w:val="baseline"/>
        <w:rPr>
          <w:szCs w:val="24"/>
        </w:rPr>
      </w:pPr>
      <w:r w:rsidRPr="005B2B3B">
        <w:rPr>
          <w:szCs w:val="24"/>
        </w:rPr>
        <w:t>In accordance with these findings of fact and conclusions of law, the Commission issues the following orders:</w:t>
      </w:r>
    </w:p>
    <w:p w:rsidR="008B2575" w:rsidRDefault="008B2575" w:rsidP="0011060B">
      <w:pPr>
        <w:pStyle w:val="OrderingParagraph"/>
      </w:pPr>
      <w:r>
        <w:t xml:space="preserve">The application </w:t>
      </w:r>
      <w:r w:rsidR="00631621">
        <w:t xml:space="preserve">of Fair Oaks to amend its </w:t>
      </w:r>
      <w:r w:rsidR="00F139B9">
        <w:t>water CCN No. 11246</w:t>
      </w:r>
      <w:r w:rsidR="00631621">
        <w:t xml:space="preserve"> in Kendall County is dismissed, without prejudice.</w:t>
      </w:r>
    </w:p>
    <w:p w:rsidR="001C0ACC" w:rsidRDefault="001C0ACC" w:rsidP="004B551C">
      <w:pPr>
        <w:pStyle w:val="OrderingParagraph"/>
        <w:tabs>
          <w:tab w:val="clear" w:pos="720"/>
        </w:tabs>
      </w:pPr>
      <w:r w:rsidRPr="00C9385F">
        <w:t>All other motions, requests for entry of specific findings of fact or conclusions of law, and any other requests for general or specific relief, if not expressly granted herein, are hereby denied.</w:t>
      </w:r>
    </w:p>
    <w:p w:rsidR="00751849" w:rsidRDefault="00751849">
      <w:pPr>
        <w:jc w:val="left"/>
        <w:rPr>
          <w:snapToGrid w:val="0"/>
          <w:lang w:eastAsia="en-US"/>
        </w:rPr>
      </w:pPr>
      <w:r>
        <w:br w:type="page"/>
      </w:r>
    </w:p>
    <w:p w:rsidR="001C0ACC" w:rsidRPr="00C9385F" w:rsidRDefault="001C0ACC" w:rsidP="001C0ACC">
      <w:pPr>
        <w:pStyle w:val="OrderingParagraph"/>
        <w:numPr>
          <w:ilvl w:val="0"/>
          <w:numId w:val="0"/>
        </w:numPr>
        <w:ind w:left="720"/>
      </w:pPr>
    </w:p>
    <w:p w:rsidR="0011060B" w:rsidRPr="00B60FA0" w:rsidRDefault="0011060B" w:rsidP="00B60FA0">
      <w:pPr>
        <w:ind w:firstLine="720"/>
        <w:rPr>
          <w:szCs w:val="24"/>
        </w:rPr>
      </w:pPr>
      <w:r w:rsidRPr="00B60FA0">
        <w:rPr>
          <w:b/>
          <w:szCs w:val="24"/>
        </w:rPr>
        <w:t xml:space="preserve">Signed </w:t>
      </w:r>
      <w:r>
        <w:rPr>
          <w:b/>
          <w:szCs w:val="24"/>
        </w:rPr>
        <w:t>a</w:t>
      </w:r>
      <w:r w:rsidRPr="00B60FA0">
        <w:rPr>
          <w:b/>
          <w:szCs w:val="24"/>
        </w:rPr>
        <w:t xml:space="preserve">t Austin, Texas </w:t>
      </w:r>
      <w:r>
        <w:rPr>
          <w:b/>
          <w:szCs w:val="24"/>
        </w:rPr>
        <w:t>t</w:t>
      </w:r>
      <w:r w:rsidRPr="00B60FA0">
        <w:rPr>
          <w:b/>
          <w:szCs w:val="24"/>
        </w:rPr>
        <w:t xml:space="preserve">he </w:t>
      </w:r>
      <w:r w:rsidRPr="00B60FA0">
        <w:rPr>
          <w:szCs w:val="24"/>
        </w:rPr>
        <w:t xml:space="preserve">______ </w:t>
      </w:r>
      <w:r w:rsidRPr="00EF1679">
        <w:rPr>
          <w:b/>
          <w:szCs w:val="24"/>
        </w:rPr>
        <w:t>d</w:t>
      </w:r>
      <w:r w:rsidRPr="00B60FA0">
        <w:rPr>
          <w:b/>
          <w:szCs w:val="24"/>
        </w:rPr>
        <w:t xml:space="preserve">ay </w:t>
      </w:r>
      <w:r>
        <w:rPr>
          <w:b/>
          <w:szCs w:val="24"/>
        </w:rPr>
        <w:t>o</w:t>
      </w:r>
      <w:r w:rsidRPr="00B60FA0">
        <w:rPr>
          <w:b/>
          <w:szCs w:val="24"/>
        </w:rPr>
        <w:t xml:space="preserve">f </w:t>
      </w:r>
      <w:r w:rsidR="00367D49">
        <w:rPr>
          <w:b/>
          <w:szCs w:val="24"/>
        </w:rPr>
        <w:t xml:space="preserve">March </w:t>
      </w:r>
      <w:r w:rsidRPr="00B60FA0">
        <w:rPr>
          <w:b/>
          <w:szCs w:val="24"/>
        </w:rPr>
        <w:t>201</w:t>
      </w:r>
      <w:r>
        <w:rPr>
          <w:b/>
          <w:szCs w:val="24"/>
        </w:rPr>
        <w:t>7</w:t>
      </w:r>
      <w:r w:rsidRPr="00B60FA0">
        <w:rPr>
          <w:b/>
          <w:szCs w:val="24"/>
        </w:rPr>
        <w:t>.</w:t>
      </w:r>
    </w:p>
    <w:p w:rsidR="0011060B" w:rsidRDefault="0011060B" w:rsidP="00B60FA0">
      <w:pPr>
        <w:ind w:left="3600" w:firstLine="86"/>
        <w:rPr>
          <w:b/>
          <w:szCs w:val="24"/>
        </w:rPr>
      </w:pPr>
    </w:p>
    <w:p w:rsidR="0011060B" w:rsidRPr="00B60FA0" w:rsidRDefault="0011060B" w:rsidP="00B60FA0">
      <w:pPr>
        <w:ind w:left="3600" w:firstLine="86"/>
        <w:rPr>
          <w:b/>
          <w:szCs w:val="24"/>
        </w:rPr>
      </w:pPr>
      <w:r w:rsidRPr="00B60FA0">
        <w:rPr>
          <w:b/>
          <w:szCs w:val="24"/>
        </w:rPr>
        <w:t>PUBLIC UTILITY COMMISSION OF TEXAS</w:t>
      </w:r>
    </w:p>
    <w:p w:rsidR="0011060B" w:rsidRPr="00B60FA0" w:rsidRDefault="0011060B" w:rsidP="00B60FA0">
      <w:pPr>
        <w:ind w:left="3600" w:firstLine="90"/>
        <w:rPr>
          <w:b/>
          <w:szCs w:val="24"/>
        </w:rPr>
      </w:pPr>
    </w:p>
    <w:p w:rsidR="0011060B" w:rsidRDefault="0011060B" w:rsidP="00B60FA0">
      <w:pPr>
        <w:ind w:left="3600" w:firstLine="90"/>
        <w:rPr>
          <w:b/>
          <w:szCs w:val="24"/>
        </w:rPr>
      </w:pPr>
    </w:p>
    <w:p w:rsidR="0011060B" w:rsidRPr="00B60FA0" w:rsidRDefault="0011060B" w:rsidP="00B60FA0">
      <w:pPr>
        <w:ind w:left="3600" w:firstLine="90"/>
        <w:rPr>
          <w:b/>
          <w:szCs w:val="24"/>
        </w:rPr>
      </w:pPr>
    </w:p>
    <w:p w:rsidR="0011060B" w:rsidRPr="00B60FA0" w:rsidRDefault="0011060B" w:rsidP="00B60FA0">
      <w:pPr>
        <w:keepNext/>
        <w:tabs>
          <w:tab w:val="left" w:pos="3690"/>
          <w:tab w:val="left" w:pos="8370"/>
        </w:tabs>
        <w:rPr>
          <w:szCs w:val="24"/>
        </w:rPr>
      </w:pPr>
      <w:r w:rsidRPr="00B60FA0">
        <w:rPr>
          <w:b/>
          <w:szCs w:val="24"/>
        </w:rPr>
        <w:tab/>
      </w:r>
      <w:r w:rsidRPr="00B60FA0">
        <w:rPr>
          <w:b/>
          <w:szCs w:val="24"/>
          <w:u w:val="single"/>
        </w:rPr>
        <w:tab/>
      </w:r>
      <w:r>
        <w:rPr>
          <w:b/>
          <w:szCs w:val="24"/>
          <w:u w:val="single"/>
        </w:rPr>
        <w:tab/>
      </w:r>
      <w:r>
        <w:rPr>
          <w:b/>
          <w:szCs w:val="24"/>
          <w:u w:val="single"/>
        </w:rPr>
        <w:tab/>
      </w:r>
    </w:p>
    <w:p w:rsidR="0011060B" w:rsidRPr="00B60FA0" w:rsidRDefault="0011060B" w:rsidP="00B60FA0">
      <w:pPr>
        <w:keepNext/>
        <w:tabs>
          <w:tab w:val="left" w:pos="3690"/>
          <w:tab w:val="left" w:pos="8640"/>
        </w:tabs>
        <w:rPr>
          <w:b/>
          <w:szCs w:val="24"/>
        </w:rPr>
      </w:pPr>
      <w:r w:rsidRPr="00B60FA0">
        <w:rPr>
          <w:b/>
          <w:szCs w:val="24"/>
        </w:rPr>
        <w:tab/>
        <w:t>DONNA L. NELSON, CHAIRMAN</w:t>
      </w:r>
    </w:p>
    <w:p w:rsidR="0011060B" w:rsidRPr="00B60FA0" w:rsidRDefault="0011060B" w:rsidP="00B60FA0">
      <w:pPr>
        <w:keepNext/>
        <w:tabs>
          <w:tab w:val="left" w:pos="2880"/>
          <w:tab w:val="left" w:pos="8640"/>
        </w:tabs>
        <w:rPr>
          <w:b/>
          <w:szCs w:val="24"/>
        </w:rPr>
      </w:pPr>
    </w:p>
    <w:p w:rsidR="0011060B" w:rsidRPr="00B60FA0" w:rsidRDefault="0011060B" w:rsidP="00B60FA0">
      <w:pPr>
        <w:keepNext/>
        <w:tabs>
          <w:tab w:val="left" w:pos="2880"/>
          <w:tab w:val="left" w:pos="8640"/>
        </w:tabs>
        <w:rPr>
          <w:b/>
          <w:szCs w:val="24"/>
        </w:rPr>
      </w:pPr>
    </w:p>
    <w:p w:rsidR="0011060B" w:rsidRPr="00B60FA0" w:rsidRDefault="0011060B" w:rsidP="00B60FA0">
      <w:pPr>
        <w:keepNext/>
        <w:tabs>
          <w:tab w:val="left" w:pos="2880"/>
          <w:tab w:val="left" w:pos="8640"/>
        </w:tabs>
        <w:rPr>
          <w:b/>
          <w:szCs w:val="24"/>
        </w:rPr>
      </w:pPr>
    </w:p>
    <w:p w:rsidR="0011060B" w:rsidRPr="00B60FA0" w:rsidRDefault="0011060B" w:rsidP="00B60FA0">
      <w:pPr>
        <w:keepNext/>
        <w:tabs>
          <w:tab w:val="left" w:pos="3690"/>
          <w:tab w:val="left" w:pos="8370"/>
        </w:tabs>
        <w:rPr>
          <w:szCs w:val="24"/>
        </w:rPr>
      </w:pPr>
      <w:r w:rsidRPr="00B60FA0">
        <w:rPr>
          <w:b/>
          <w:szCs w:val="24"/>
        </w:rPr>
        <w:tab/>
      </w:r>
      <w:r w:rsidRPr="00B60FA0">
        <w:rPr>
          <w:b/>
          <w:szCs w:val="24"/>
          <w:u w:val="single"/>
        </w:rPr>
        <w:tab/>
      </w:r>
      <w:r>
        <w:rPr>
          <w:szCs w:val="24"/>
          <w:u w:val="single"/>
        </w:rPr>
        <w:tab/>
      </w:r>
      <w:r>
        <w:rPr>
          <w:szCs w:val="24"/>
          <w:u w:val="single"/>
        </w:rPr>
        <w:tab/>
      </w:r>
    </w:p>
    <w:p w:rsidR="0011060B" w:rsidRPr="00B60FA0" w:rsidRDefault="0011060B" w:rsidP="00B60FA0">
      <w:pPr>
        <w:keepNext/>
        <w:tabs>
          <w:tab w:val="left" w:pos="3690"/>
          <w:tab w:val="left" w:pos="8640"/>
        </w:tabs>
        <w:rPr>
          <w:b/>
          <w:szCs w:val="24"/>
        </w:rPr>
      </w:pPr>
      <w:r w:rsidRPr="00B60FA0">
        <w:rPr>
          <w:b/>
          <w:szCs w:val="24"/>
        </w:rPr>
        <w:tab/>
        <w:t>KENNETH W. ANDERSON, JR., COMMISSIONER</w:t>
      </w:r>
    </w:p>
    <w:p w:rsidR="0011060B" w:rsidRPr="00B60FA0" w:rsidRDefault="0011060B" w:rsidP="00B60FA0">
      <w:pPr>
        <w:keepNext/>
        <w:tabs>
          <w:tab w:val="left" w:pos="2880"/>
          <w:tab w:val="left" w:pos="8640"/>
        </w:tabs>
        <w:rPr>
          <w:b/>
          <w:szCs w:val="24"/>
        </w:rPr>
      </w:pPr>
    </w:p>
    <w:p w:rsidR="0011060B" w:rsidRPr="00B60FA0" w:rsidRDefault="0011060B" w:rsidP="00B60FA0">
      <w:pPr>
        <w:keepNext/>
        <w:tabs>
          <w:tab w:val="left" w:pos="2880"/>
          <w:tab w:val="left" w:pos="8640"/>
        </w:tabs>
        <w:rPr>
          <w:b/>
          <w:szCs w:val="24"/>
        </w:rPr>
      </w:pPr>
    </w:p>
    <w:p w:rsidR="0011060B" w:rsidRPr="00B60FA0" w:rsidRDefault="0011060B" w:rsidP="00B60FA0">
      <w:pPr>
        <w:keepNext/>
        <w:tabs>
          <w:tab w:val="left" w:pos="2880"/>
          <w:tab w:val="left" w:pos="8640"/>
        </w:tabs>
        <w:rPr>
          <w:b/>
          <w:szCs w:val="24"/>
        </w:rPr>
      </w:pPr>
    </w:p>
    <w:p w:rsidR="0011060B" w:rsidRPr="00B60FA0" w:rsidRDefault="0011060B" w:rsidP="00B60FA0">
      <w:pPr>
        <w:keepNext/>
        <w:tabs>
          <w:tab w:val="left" w:pos="3690"/>
          <w:tab w:val="left" w:pos="8370"/>
        </w:tabs>
        <w:rPr>
          <w:szCs w:val="24"/>
        </w:rPr>
      </w:pPr>
      <w:r w:rsidRPr="00B60FA0">
        <w:rPr>
          <w:b/>
          <w:szCs w:val="24"/>
        </w:rPr>
        <w:tab/>
      </w:r>
      <w:r w:rsidRPr="00B60FA0">
        <w:rPr>
          <w:b/>
          <w:szCs w:val="24"/>
          <w:u w:val="single"/>
        </w:rPr>
        <w:tab/>
      </w:r>
      <w:r>
        <w:rPr>
          <w:szCs w:val="24"/>
          <w:u w:val="single"/>
        </w:rPr>
        <w:tab/>
      </w:r>
      <w:r>
        <w:rPr>
          <w:szCs w:val="24"/>
          <w:u w:val="single"/>
        </w:rPr>
        <w:tab/>
      </w:r>
    </w:p>
    <w:p w:rsidR="0011060B" w:rsidRPr="00B60FA0" w:rsidRDefault="0011060B" w:rsidP="00B60FA0">
      <w:pPr>
        <w:keepNext/>
        <w:tabs>
          <w:tab w:val="left" w:pos="3690"/>
          <w:tab w:val="left" w:pos="8640"/>
        </w:tabs>
        <w:rPr>
          <w:b/>
          <w:szCs w:val="24"/>
        </w:rPr>
      </w:pPr>
      <w:r w:rsidRPr="00B60FA0">
        <w:rPr>
          <w:b/>
          <w:szCs w:val="24"/>
        </w:rPr>
        <w:tab/>
        <w:t>BRANDY MARTY MARQUEZ, COMMISSIONER</w:t>
      </w:r>
    </w:p>
    <w:p w:rsidR="0011060B" w:rsidRPr="00CB5559" w:rsidRDefault="0011060B" w:rsidP="00B60FA0">
      <w:pPr>
        <w:keepNext/>
        <w:rPr>
          <w:szCs w:val="24"/>
        </w:rPr>
      </w:pPr>
    </w:p>
    <w:p w:rsidR="0065284A" w:rsidRDefault="0065284A">
      <w:pPr>
        <w:pStyle w:val="FilePath"/>
      </w:pPr>
    </w:p>
    <w:p w:rsidR="007B416D" w:rsidRDefault="00367D49">
      <w:pPr>
        <w:pStyle w:val="FilePath"/>
      </w:pPr>
      <w:fldSimple w:instr=" FILENAME  \p  \* MERGEFORMAT ">
        <w:r w:rsidR="002606DD" w:rsidRPr="002606DD">
          <w:rPr>
            <w:noProof/>
            <w:szCs w:val="16"/>
          </w:rPr>
          <w:t>Q</w:t>
        </w:r>
        <w:r w:rsidR="002606DD">
          <w:rPr>
            <w:noProof/>
          </w:rPr>
          <w:t>:\CADM\Docket Management\Water\CCN\46xxx\46359- PO dismissing.docx</w:t>
        </w:r>
      </w:fldSimple>
    </w:p>
    <w:sectPr w:rsidR="007B416D" w:rsidSect="00C07DAF">
      <w:headerReference w:type="even" r:id="rId8"/>
      <w:headerReference w:type="default" r:id="rId9"/>
      <w:footerReference w:type="even" r:id="rId10"/>
      <w:footerReference w:type="default" r:id="rId11"/>
      <w:headerReference w:type="first" r:id="rId12"/>
      <w:footerReference w:type="first" r:id="rId13"/>
      <w:pgSz w:w="12240" w:h="15840"/>
      <w:pgMar w:top="1260" w:right="1440" w:bottom="135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D2D" w:rsidRDefault="00CF5D2D">
      <w:r>
        <w:separator/>
      </w:r>
    </w:p>
  </w:endnote>
  <w:endnote w:type="continuationSeparator" w:id="0">
    <w:p w:rsidR="00CF5D2D" w:rsidRDefault="00CF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DEE" w:rsidRDefault="00867D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DEE" w:rsidRDefault="00867D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DEE" w:rsidRDefault="00867D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D2D" w:rsidRDefault="00CF5D2D">
      <w:r>
        <w:separator/>
      </w:r>
    </w:p>
  </w:footnote>
  <w:footnote w:type="continuationSeparator" w:id="0">
    <w:p w:rsidR="00CF5D2D" w:rsidRDefault="00CF5D2D">
      <w:r>
        <w:continuationSeparator/>
      </w:r>
    </w:p>
  </w:footnote>
  <w:footnote w:id="1">
    <w:p w:rsidR="005911A9" w:rsidRDefault="005911A9">
      <w:pPr>
        <w:pStyle w:val="FootnoteText"/>
      </w:pPr>
      <w:r>
        <w:rPr>
          <w:rStyle w:val="FootnoteReference"/>
        </w:rPr>
        <w:footnoteRef/>
      </w:r>
      <w:r>
        <w:t xml:space="preserve">  </w:t>
      </w:r>
      <w:r w:rsidRPr="005911A9">
        <w:rPr>
          <w:i/>
        </w:rPr>
        <w:t>Application of Fair Oaks Ranch to Amend Certificates of Convenience and Necessity in Kendall, Bexar and Comal Counties</w:t>
      </w:r>
      <w:r>
        <w:t xml:space="preserve">, Docket No. 43666 (October 29, 2014.  </w:t>
      </w:r>
    </w:p>
  </w:footnote>
  <w:footnote w:id="2">
    <w:p w:rsidR="005911A9" w:rsidRDefault="005911A9">
      <w:pPr>
        <w:pStyle w:val="FootnoteText"/>
      </w:pPr>
      <w:r>
        <w:rPr>
          <w:rStyle w:val="FootnoteReference"/>
        </w:rPr>
        <w:footnoteRef/>
      </w:r>
      <w:r>
        <w:t xml:space="preserve">  </w:t>
      </w:r>
      <w:r w:rsidRPr="00C72073">
        <w:rPr>
          <w:i/>
        </w:rPr>
        <w:t>City of Fair Oaks Ranch, Texas v. R.W. Pfeiffer Properties, LLC</w:t>
      </w:r>
      <w:r>
        <w:t>, No. 2016-CI-05444 (57</w:t>
      </w:r>
      <w:r w:rsidRPr="005911A9">
        <w:rPr>
          <w:vertAlign w:val="superscript"/>
        </w:rPr>
        <w:t>th</w:t>
      </w:r>
      <w:r>
        <w:t xml:space="preserve"> Dist. Ct., Bexar County,</w:t>
      </w:r>
      <w:r w:rsidR="00C72073">
        <w:t xml:space="preserve"> Tex.</w:t>
      </w:r>
      <w:r w:rsidR="00791F0B">
        <w:t>, Mar. 29, 2016)</w:t>
      </w:r>
      <w:r>
        <w:t xml:space="preserve">.  </w:t>
      </w:r>
    </w:p>
  </w:footnote>
  <w:footnote w:id="3">
    <w:p w:rsidR="00F67833" w:rsidRDefault="00F67833">
      <w:pPr>
        <w:pStyle w:val="FootnoteText"/>
      </w:pPr>
      <w:r>
        <w:rPr>
          <w:rStyle w:val="FootnoteReference"/>
        </w:rPr>
        <w:footnoteRef/>
      </w:r>
      <w:r>
        <w:t xml:space="preserve">  Commission Staff’s Motion to Dismiss at 1 (Jan. 17, 2017) (Staff Motion).</w:t>
      </w:r>
    </w:p>
  </w:footnote>
  <w:footnote w:id="4">
    <w:p w:rsidR="00F67833" w:rsidRDefault="00F67833">
      <w:pPr>
        <w:pStyle w:val="FootnoteText"/>
      </w:pPr>
      <w:r>
        <w:rPr>
          <w:rStyle w:val="FootnoteReference"/>
        </w:rPr>
        <w:footnoteRef/>
      </w:r>
      <w:r>
        <w:t xml:space="preserve">  </w:t>
      </w:r>
      <w:r w:rsidRPr="00F67833">
        <w:rPr>
          <w:i/>
        </w:rPr>
        <w:t xml:space="preserve">Id. </w:t>
      </w:r>
    </w:p>
  </w:footnote>
  <w:footnote w:id="5">
    <w:p w:rsidR="00F67833" w:rsidRDefault="00F67833">
      <w:pPr>
        <w:pStyle w:val="FootnoteText"/>
      </w:pPr>
      <w:r>
        <w:rPr>
          <w:rStyle w:val="FootnoteReference"/>
        </w:rPr>
        <w:footnoteRef/>
      </w:r>
      <w:r>
        <w:t xml:space="preserve">  </w:t>
      </w:r>
      <w:r w:rsidRPr="00F67833">
        <w:rPr>
          <w:i/>
        </w:rPr>
        <w:t>Id.</w:t>
      </w:r>
      <w:r>
        <w:t xml:space="preserve"> at 2. </w:t>
      </w:r>
    </w:p>
  </w:footnote>
  <w:footnote w:id="6">
    <w:p w:rsidR="00453CF3" w:rsidRDefault="00453CF3">
      <w:pPr>
        <w:pStyle w:val="FootnoteText"/>
      </w:pPr>
      <w:r>
        <w:rPr>
          <w:rStyle w:val="FootnoteReference"/>
        </w:rPr>
        <w:footnoteRef/>
      </w:r>
      <w:r>
        <w:t xml:space="preserve">  </w:t>
      </w:r>
      <w:r w:rsidRPr="008D1CA8">
        <w:rPr>
          <w:i/>
        </w:rPr>
        <w:t>Id.</w:t>
      </w:r>
      <w:r>
        <w:t xml:space="preserve"> at 2-3.  </w:t>
      </w:r>
    </w:p>
  </w:footnote>
  <w:footnote w:id="7">
    <w:p w:rsidR="008D1CA8" w:rsidRDefault="008D1CA8">
      <w:pPr>
        <w:pStyle w:val="FootnoteText"/>
      </w:pPr>
      <w:r>
        <w:rPr>
          <w:rStyle w:val="FootnoteReference"/>
        </w:rPr>
        <w:footnoteRef/>
      </w:r>
      <w:r>
        <w:t xml:space="preserve">  </w:t>
      </w:r>
      <w:r w:rsidRPr="008D1CA8">
        <w:rPr>
          <w:i/>
        </w:rPr>
        <w:t>Id.</w:t>
      </w:r>
      <w:r>
        <w:t xml:space="preserve"> at 3. </w:t>
      </w:r>
    </w:p>
  </w:footnote>
  <w:footnote w:id="8">
    <w:p w:rsidR="008D1CA8" w:rsidRDefault="008D1CA8">
      <w:pPr>
        <w:pStyle w:val="FootnoteText"/>
      </w:pPr>
      <w:r>
        <w:rPr>
          <w:rStyle w:val="FootnoteReference"/>
        </w:rPr>
        <w:footnoteRef/>
      </w:r>
      <w:r>
        <w:t xml:space="preserve">  City of Fair Oaks Ranch’s Response to Motion to Dismiss at 2 (Feb. 6, 2017) (City Response).</w:t>
      </w:r>
    </w:p>
  </w:footnote>
  <w:footnote w:id="9">
    <w:p w:rsidR="008D1CA8" w:rsidRDefault="008D1CA8">
      <w:pPr>
        <w:pStyle w:val="FootnoteText"/>
      </w:pPr>
      <w:r>
        <w:rPr>
          <w:rStyle w:val="FootnoteReference"/>
        </w:rPr>
        <w:footnoteRef/>
      </w:r>
      <w:r>
        <w:t xml:space="preserve"> </w:t>
      </w:r>
      <w:r w:rsidR="004A3929">
        <w:t xml:space="preserve"> </w:t>
      </w:r>
      <w:r w:rsidR="004A3929" w:rsidRPr="004A3929">
        <w:rPr>
          <w:i/>
        </w:rPr>
        <w:t xml:space="preserve">Id. </w:t>
      </w:r>
      <w:r w:rsidR="004A3929">
        <w:t xml:space="preserve">at 3. </w:t>
      </w:r>
    </w:p>
  </w:footnote>
  <w:footnote w:id="10">
    <w:p w:rsidR="00003C2F" w:rsidRDefault="00003C2F">
      <w:pPr>
        <w:pStyle w:val="FootnoteText"/>
      </w:pPr>
      <w:r>
        <w:rPr>
          <w:rStyle w:val="FootnoteReference"/>
        </w:rPr>
        <w:footnoteRef/>
      </w:r>
      <w:r>
        <w:t xml:space="preserve">  </w:t>
      </w:r>
      <w:r w:rsidRPr="00003C2F">
        <w:rPr>
          <w:i/>
        </w:rPr>
        <w:t>Id.</w:t>
      </w:r>
      <w:r>
        <w:t xml:space="preserve"> </w:t>
      </w:r>
    </w:p>
  </w:footnote>
  <w:footnote w:id="11">
    <w:p w:rsidR="00003C2F" w:rsidRDefault="00003C2F">
      <w:pPr>
        <w:pStyle w:val="FootnoteText"/>
      </w:pPr>
      <w:r>
        <w:rPr>
          <w:rStyle w:val="FootnoteReference"/>
        </w:rPr>
        <w:footnoteRef/>
      </w:r>
      <w:r>
        <w:t xml:space="preserve">  </w:t>
      </w:r>
      <w:r w:rsidRPr="003E68A9">
        <w:rPr>
          <w:i/>
        </w:rPr>
        <w:t>Id.</w:t>
      </w:r>
      <w:r>
        <w:t xml:space="preserve"> </w:t>
      </w:r>
    </w:p>
  </w:footnote>
  <w:footnote w:id="12">
    <w:p w:rsidR="00003C2F" w:rsidRDefault="00003C2F">
      <w:pPr>
        <w:pStyle w:val="FootnoteText"/>
      </w:pPr>
      <w:r>
        <w:rPr>
          <w:rStyle w:val="FootnoteReference"/>
        </w:rPr>
        <w:footnoteRef/>
      </w:r>
      <w:r>
        <w:t xml:space="preserve">  </w:t>
      </w:r>
      <w:r w:rsidRPr="003E68A9">
        <w:rPr>
          <w:i/>
        </w:rPr>
        <w:t xml:space="preserve">Id. </w:t>
      </w:r>
    </w:p>
  </w:footnote>
  <w:footnote w:id="13">
    <w:p w:rsidR="00003C2F" w:rsidRDefault="00003C2F">
      <w:pPr>
        <w:pStyle w:val="FootnoteText"/>
      </w:pPr>
      <w:r>
        <w:rPr>
          <w:rStyle w:val="FootnoteReference"/>
        </w:rPr>
        <w:footnoteRef/>
      </w:r>
      <w:r>
        <w:t xml:space="preserve">  </w:t>
      </w:r>
      <w:r w:rsidRPr="003E68A9">
        <w:rPr>
          <w:i/>
        </w:rPr>
        <w:t>Id</w:t>
      </w:r>
      <w:r w:rsidR="003E68A9" w:rsidRPr="003E68A9">
        <w:rPr>
          <w:i/>
        </w:rPr>
        <w:t>.</w:t>
      </w:r>
      <w:r w:rsidRPr="003E68A9">
        <w:rPr>
          <w:i/>
        </w:rPr>
        <w:t xml:space="preserve"> </w:t>
      </w:r>
      <w:r>
        <w:t>at 3-4.</w:t>
      </w:r>
    </w:p>
  </w:footnote>
  <w:footnote w:id="14">
    <w:p w:rsidR="00003C2F" w:rsidRDefault="00003C2F">
      <w:pPr>
        <w:pStyle w:val="FootnoteText"/>
      </w:pPr>
      <w:r>
        <w:rPr>
          <w:rStyle w:val="FootnoteReference"/>
        </w:rPr>
        <w:footnoteRef/>
      </w:r>
      <w:r>
        <w:t xml:space="preserve">  </w:t>
      </w:r>
      <w:r w:rsidR="003E68A9" w:rsidRPr="003E68A9">
        <w:t>City Response</w:t>
      </w:r>
      <w:r w:rsidR="003E68A9">
        <w:rPr>
          <w:i/>
        </w:rPr>
        <w:t xml:space="preserve"> </w:t>
      </w:r>
      <w:r>
        <w:t xml:space="preserve">at 4. </w:t>
      </w:r>
    </w:p>
  </w:footnote>
  <w:footnote w:id="15">
    <w:p w:rsidR="00EE1B91" w:rsidRDefault="00EE1B91">
      <w:pPr>
        <w:pStyle w:val="FootnoteText"/>
      </w:pPr>
      <w:r>
        <w:rPr>
          <w:rStyle w:val="FootnoteReference"/>
        </w:rPr>
        <w:footnoteRef/>
      </w:r>
      <w:r>
        <w:t xml:space="preserve"> </w:t>
      </w:r>
      <w:r w:rsidRPr="003E68A9">
        <w:rPr>
          <w:i/>
        </w:rPr>
        <w:t xml:space="preserve"> Id. </w:t>
      </w:r>
    </w:p>
  </w:footnote>
  <w:footnote w:id="16">
    <w:p w:rsidR="00770313" w:rsidRDefault="00770313">
      <w:pPr>
        <w:pStyle w:val="FootnoteText"/>
      </w:pPr>
      <w:r>
        <w:rPr>
          <w:rStyle w:val="FootnoteReference"/>
        </w:rPr>
        <w:footnoteRef/>
      </w:r>
      <w:r>
        <w:t xml:space="preserve">  </w:t>
      </w:r>
      <w:r w:rsidRPr="003E68A9">
        <w:rPr>
          <w:i/>
        </w:rPr>
        <w:t>Id</w:t>
      </w:r>
      <w:r>
        <w:t xml:space="preserve">. </w:t>
      </w:r>
    </w:p>
  </w:footnote>
  <w:footnote w:id="17">
    <w:p w:rsidR="00770313" w:rsidRDefault="00770313">
      <w:pPr>
        <w:pStyle w:val="FootnoteText"/>
      </w:pPr>
      <w:r>
        <w:rPr>
          <w:rStyle w:val="FootnoteReference"/>
        </w:rPr>
        <w:footnoteRef/>
      </w:r>
      <w:r>
        <w:t xml:space="preserve">  </w:t>
      </w:r>
      <w:r w:rsidRPr="003E68A9">
        <w:rPr>
          <w:i/>
        </w:rPr>
        <w:t>Id.</w:t>
      </w:r>
      <w:r>
        <w:t xml:space="preserve"> </w:t>
      </w:r>
    </w:p>
  </w:footnote>
  <w:footnote w:id="18">
    <w:p w:rsidR="00770313" w:rsidRDefault="00770313">
      <w:pPr>
        <w:pStyle w:val="FootnoteText"/>
      </w:pPr>
      <w:r>
        <w:rPr>
          <w:rStyle w:val="FootnoteReference"/>
        </w:rPr>
        <w:footnoteRef/>
      </w:r>
      <w:r>
        <w:t xml:space="preserve">  </w:t>
      </w:r>
      <w:r w:rsidRPr="003E68A9">
        <w:rPr>
          <w:i/>
        </w:rPr>
        <w:t>Id.</w:t>
      </w:r>
      <w:r>
        <w:t xml:space="preserve">at 4-5. </w:t>
      </w:r>
    </w:p>
  </w:footnote>
  <w:footnote w:id="19">
    <w:p w:rsidR="00770313" w:rsidRDefault="00770313">
      <w:pPr>
        <w:pStyle w:val="FootnoteText"/>
      </w:pPr>
      <w:r>
        <w:rPr>
          <w:rStyle w:val="FootnoteReference"/>
        </w:rPr>
        <w:footnoteRef/>
      </w:r>
      <w:r>
        <w:t xml:space="preserve">  </w:t>
      </w:r>
      <w:r w:rsidRPr="003E68A9">
        <w:rPr>
          <w:i/>
        </w:rPr>
        <w:t>Id.</w:t>
      </w:r>
      <w:r>
        <w:t xml:space="preserve"> at 5. </w:t>
      </w:r>
    </w:p>
  </w:footnote>
  <w:footnote w:id="20">
    <w:p w:rsidR="00770313" w:rsidRDefault="00770313">
      <w:pPr>
        <w:pStyle w:val="FootnoteText"/>
      </w:pPr>
      <w:r>
        <w:rPr>
          <w:rStyle w:val="FootnoteReference"/>
        </w:rPr>
        <w:footnoteRef/>
      </w:r>
      <w:r>
        <w:t xml:space="preserve">  </w:t>
      </w:r>
      <w:r w:rsidR="003E68A9" w:rsidRPr="003E68A9">
        <w:t>City Response</w:t>
      </w:r>
      <w:r w:rsidR="003E68A9">
        <w:t xml:space="preserve"> at 5.</w:t>
      </w:r>
    </w:p>
  </w:footnote>
  <w:footnote w:id="21">
    <w:p w:rsidR="00C3234C" w:rsidRDefault="00C3234C">
      <w:pPr>
        <w:pStyle w:val="FootnoteText"/>
      </w:pPr>
      <w:r>
        <w:rPr>
          <w:rStyle w:val="FootnoteReference"/>
        </w:rPr>
        <w:footnoteRef/>
      </w:r>
      <w:r>
        <w:t xml:space="preserve">  </w:t>
      </w:r>
      <w:r w:rsidRPr="00C3234C">
        <w:rPr>
          <w:i/>
        </w:rPr>
        <w:t>Id.</w:t>
      </w:r>
    </w:p>
  </w:footnote>
  <w:footnote w:id="22">
    <w:p w:rsidR="00C3234C" w:rsidRDefault="00C3234C">
      <w:pPr>
        <w:pStyle w:val="FootnoteText"/>
      </w:pPr>
      <w:r>
        <w:rPr>
          <w:rStyle w:val="FootnoteReference"/>
        </w:rPr>
        <w:footnoteRef/>
      </w:r>
      <w:r>
        <w:t xml:space="preserve">  Advisory Letter Regarding Docket at 1 (Feb. 7, 2017).</w:t>
      </w:r>
    </w:p>
  </w:footnote>
  <w:footnote w:id="23">
    <w:p w:rsidR="00C3234C" w:rsidRDefault="00C3234C">
      <w:pPr>
        <w:pStyle w:val="FootnoteText"/>
      </w:pPr>
      <w:r>
        <w:rPr>
          <w:rStyle w:val="FootnoteReference"/>
        </w:rPr>
        <w:footnoteRef/>
      </w:r>
      <w:r>
        <w:t xml:space="preserve">  </w:t>
      </w:r>
      <w:r w:rsidRPr="00C3234C">
        <w:rPr>
          <w:i/>
        </w:rPr>
        <w:t xml:space="preserve"> Id. </w:t>
      </w:r>
    </w:p>
  </w:footnote>
  <w:footnote w:id="24">
    <w:p w:rsidR="00DB44F5" w:rsidRDefault="00DB44F5" w:rsidP="00DB44F5">
      <w:pPr>
        <w:pStyle w:val="FootnoteText"/>
      </w:pPr>
      <w:r>
        <w:rPr>
          <w:rStyle w:val="FootnoteReference"/>
        </w:rPr>
        <w:footnoteRef/>
      </w:r>
      <w:r>
        <w:t xml:space="preserve">  16 Tex. Admin. Code § 24.8(a).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DEE" w:rsidRDefault="00867D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707" w:rsidRDefault="00163707" w:rsidP="007C18A7">
    <w:pPr>
      <w:pStyle w:val="OrderHeader"/>
      <w:rPr>
        <w:noProof/>
      </w:rPr>
    </w:pPr>
    <w:r>
      <w:t xml:space="preserve">Docket No. </w:t>
    </w:r>
    <w:r w:rsidR="003402A2">
      <w:t>46359</w:t>
    </w:r>
    <w:r w:rsidRPr="001F1BEB">
      <w:tab/>
    </w:r>
    <w:r w:rsidR="00617B7D">
      <w:t>Proposed Order</w:t>
    </w:r>
    <w:r w:rsidRPr="001F1BEB">
      <w:tab/>
      <w:t xml:space="preserve">Page </w:t>
    </w:r>
    <w:r w:rsidR="00017F37" w:rsidRPr="001F1BEB">
      <w:fldChar w:fldCharType="begin"/>
    </w:r>
    <w:r w:rsidRPr="001F1BEB">
      <w:instrText xml:space="preserve"> PAGE </w:instrText>
    </w:r>
    <w:r w:rsidR="00017F37" w:rsidRPr="001F1BEB">
      <w:fldChar w:fldCharType="separate"/>
    </w:r>
    <w:r w:rsidR="00A505BE">
      <w:rPr>
        <w:noProof/>
      </w:rPr>
      <w:t>8</w:t>
    </w:r>
    <w:r w:rsidR="00017F37" w:rsidRPr="001F1BEB">
      <w:fldChar w:fldCharType="end"/>
    </w:r>
    <w:r w:rsidRPr="001F1BEB">
      <w:t xml:space="preserve"> of </w:t>
    </w:r>
    <w:r w:rsidR="00A505BE">
      <w:fldChar w:fldCharType="begin"/>
    </w:r>
    <w:r w:rsidR="00A505BE">
      <w:instrText xml:space="preserve"> NUMPAGES </w:instrText>
    </w:r>
    <w:r w:rsidR="00A505BE">
      <w:fldChar w:fldCharType="separate"/>
    </w:r>
    <w:r w:rsidR="00A505BE">
      <w:rPr>
        <w:noProof/>
      </w:rPr>
      <w:t>8</w:t>
    </w:r>
    <w:r w:rsidR="00A505BE">
      <w:rPr>
        <w:noProof/>
      </w:rPr>
      <w:fldChar w:fldCharType="end"/>
    </w:r>
  </w:p>
  <w:p w:rsidR="008B2575" w:rsidRDefault="008B2575" w:rsidP="007C18A7">
    <w:pPr>
      <w:pStyle w:val="OrderHeader"/>
      <w:rPr>
        <w:noProof/>
      </w:rPr>
    </w:pPr>
  </w:p>
  <w:p w:rsidR="008B2575" w:rsidRPr="001F1BEB" w:rsidRDefault="008B2575" w:rsidP="007C18A7">
    <w:pPr>
      <w:pStyle w:val="Order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DEE" w:rsidRDefault="00867D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F030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9024BB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F947E5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7BE2A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8CA3F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6403A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E2E10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76CD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4A1E6B"/>
    <w:multiLevelType w:val="hybridMultilevel"/>
    <w:tmpl w:val="3A00998E"/>
    <w:lvl w:ilvl="0" w:tplc="1B640A70">
      <w:start w:val="1"/>
      <w:numFmt w:val="decimal"/>
      <w:lvlText w:val="%1."/>
      <w:lvlJc w:val="left"/>
      <w:pPr>
        <w:ind w:left="720" w:hanging="360"/>
      </w:pPr>
      <w:rPr>
        <w:rFonts w:hint="default"/>
        <w:snapToGrid/>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8F3D5E"/>
    <w:multiLevelType w:val="singleLevel"/>
    <w:tmpl w:val="0FC8C720"/>
    <w:lvl w:ilvl="0">
      <w:start w:val="11"/>
      <w:numFmt w:val="decimal"/>
      <w:pStyle w:val="FOFNumbered"/>
      <w:lvlText w:val="%1."/>
      <w:lvlJc w:val="left"/>
      <w:pPr>
        <w:tabs>
          <w:tab w:val="num" w:pos="720"/>
        </w:tabs>
        <w:ind w:left="720" w:hanging="720"/>
      </w:pPr>
      <w:rPr>
        <w:rFonts w:hint="default"/>
      </w:rPr>
    </w:lvl>
  </w:abstractNum>
  <w:abstractNum w:abstractNumId="12" w15:restartNumberingAfterBreak="0">
    <w:nsid w:val="113C582F"/>
    <w:multiLevelType w:val="hybridMultilevel"/>
    <w:tmpl w:val="5FDC0846"/>
    <w:lvl w:ilvl="0" w:tplc="0CC8DB0E">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1DA62932"/>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7" w15:restartNumberingAfterBreak="0">
    <w:nsid w:val="2756520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CAA310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3CEE30ED"/>
    <w:multiLevelType w:val="hybridMultilevel"/>
    <w:tmpl w:val="4C6EA408"/>
    <w:lvl w:ilvl="0" w:tplc="1B640A70">
      <w:start w:val="1"/>
      <w:numFmt w:val="decimal"/>
      <w:lvlText w:val="%1."/>
      <w:lvlJc w:val="left"/>
      <w:pPr>
        <w:ind w:left="1440" w:hanging="720"/>
      </w:pPr>
      <w:rPr>
        <w:rFonts w:hint="default"/>
        <w:snapToGrid/>
        <w:sz w:val="23"/>
        <w:szCs w:val="23"/>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A55258"/>
    <w:multiLevelType w:val="hybridMultilevel"/>
    <w:tmpl w:val="B1800F12"/>
    <w:lvl w:ilvl="0" w:tplc="30C8B5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13"/>
  </w:num>
  <w:num w:numId="13">
    <w:abstractNumId w:val="16"/>
  </w:num>
  <w:num w:numId="14">
    <w:abstractNumId w:val="14"/>
  </w:num>
  <w:num w:numId="15">
    <w:abstractNumId w:val="18"/>
  </w:num>
  <w:num w:numId="16">
    <w:abstractNumId w:val="17"/>
  </w:num>
  <w:num w:numId="17">
    <w:abstractNumId w:val="15"/>
  </w:num>
  <w:num w:numId="18">
    <w:abstractNumId w:val="12"/>
  </w:num>
  <w:num w:numId="19">
    <w:abstractNumId w:val="19"/>
  </w:num>
  <w:num w:numId="20">
    <w:abstractNumId w:val="21"/>
  </w:num>
  <w:num w:numId="21">
    <w:abstractNumId w:val="10"/>
  </w:num>
  <w:num w:numId="22">
    <w:abstractNumId w:val="11"/>
  </w:num>
  <w:num w:numId="23">
    <w:abstractNumId w:val="22"/>
  </w:num>
  <w:num w:numId="24">
    <w:abstractNumId w:val="23"/>
  </w:num>
  <w:num w:numId="25">
    <w:abstractNumId w:val="23"/>
  </w:num>
  <w:num w:numId="2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682"/>
    <w:rsid w:val="00003C2F"/>
    <w:rsid w:val="00007A5B"/>
    <w:rsid w:val="00017A23"/>
    <w:rsid w:val="00017F37"/>
    <w:rsid w:val="00027ACC"/>
    <w:rsid w:val="00033B42"/>
    <w:rsid w:val="000443FE"/>
    <w:rsid w:val="00051650"/>
    <w:rsid w:val="000545D3"/>
    <w:rsid w:val="0007019A"/>
    <w:rsid w:val="00082884"/>
    <w:rsid w:val="0008715E"/>
    <w:rsid w:val="00092A03"/>
    <w:rsid w:val="0009463F"/>
    <w:rsid w:val="000A3507"/>
    <w:rsid w:val="000B26B3"/>
    <w:rsid w:val="000C24B7"/>
    <w:rsid w:val="000D496A"/>
    <w:rsid w:val="000E7F43"/>
    <w:rsid w:val="000F1323"/>
    <w:rsid w:val="00107A47"/>
    <w:rsid w:val="0011060B"/>
    <w:rsid w:val="001331A0"/>
    <w:rsid w:val="00133B0C"/>
    <w:rsid w:val="00141995"/>
    <w:rsid w:val="001575D9"/>
    <w:rsid w:val="00163707"/>
    <w:rsid w:val="0016377D"/>
    <w:rsid w:val="00164D54"/>
    <w:rsid w:val="00165429"/>
    <w:rsid w:val="001659D3"/>
    <w:rsid w:val="001660D1"/>
    <w:rsid w:val="001845E3"/>
    <w:rsid w:val="001910CF"/>
    <w:rsid w:val="00194537"/>
    <w:rsid w:val="001A717E"/>
    <w:rsid w:val="001C0ACC"/>
    <w:rsid w:val="001C6553"/>
    <w:rsid w:val="001D1349"/>
    <w:rsid w:val="001E54E3"/>
    <w:rsid w:val="001E57BE"/>
    <w:rsid w:val="001E7088"/>
    <w:rsid w:val="00206533"/>
    <w:rsid w:val="00241765"/>
    <w:rsid w:val="00246C70"/>
    <w:rsid w:val="00252D17"/>
    <w:rsid w:val="002606DD"/>
    <w:rsid w:val="002644DC"/>
    <w:rsid w:val="00280C36"/>
    <w:rsid w:val="002A7705"/>
    <w:rsid w:val="002B07E9"/>
    <w:rsid w:val="002B3363"/>
    <w:rsid w:val="002D03F5"/>
    <w:rsid w:val="002F13AC"/>
    <w:rsid w:val="002F5926"/>
    <w:rsid w:val="00303CA4"/>
    <w:rsid w:val="003054C7"/>
    <w:rsid w:val="00320B37"/>
    <w:rsid w:val="0032598F"/>
    <w:rsid w:val="00330511"/>
    <w:rsid w:val="0033597A"/>
    <w:rsid w:val="003402A2"/>
    <w:rsid w:val="00342314"/>
    <w:rsid w:val="003578D9"/>
    <w:rsid w:val="00364772"/>
    <w:rsid w:val="00367D49"/>
    <w:rsid w:val="00367ED8"/>
    <w:rsid w:val="00373BE6"/>
    <w:rsid w:val="00386AA9"/>
    <w:rsid w:val="00387B26"/>
    <w:rsid w:val="003A3453"/>
    <w:rsid w:val="003A389D"/>
    <w:rsid w:val="003A414E"/>
    <w:rsid w:val="003A581B"/>
    <w:rsid w:val="003C5E49"/>
    <w:rsid w:val="003D384D"/>
    <w:rsid w:val="003E0AC7"/>
    <w:rsid w:val="003E68A9"/>
    <w:rsid w:val="003E7661"/>
    <w:rsid w:val="003F4C1F"/>
    <w:rsid w:val="00402636"/>
    <w:rsid w:val="00412FA5"/>
    <w:rsid w:val="00416177"/>
    <w:rsid w:val="00421A7F"/>
    <w:rsid w:val="00440E38"/>
    <w:rsid w:val="00447012"/>
    <w:rsid w:val="00453CF3"/>
    <w:rsid w:val="00483C03"/>
    <w:rsid w:val="00485317"/>
    <w:rsid w:val="00493319"/>
    <w:rsid w:val="0049797D"/>
    <w:rsid w:val="004A26B0"/>
    <w:rsid w:val="004A3929"/>
    <w:rsid w:val="004B3F6C"/>
    <w:rsid w:val="004B551C"/>
    <w:rsid w:val="004B7DAE"/>
    <w:rsid w:val="004C40E0"/>
    <w:rsid w:val="004C7C77"/>
    <w:rsid w:val="005053DB"/>
    <w:rsid w:val="00512335"/>
    <w:rsid w:val="00520682"/>
    <w:rsid w:val="00522001"/>
    <w:rsid w:val="00544DC2"/>
    <w:rsid w:val="00552E98"/>
    <w:rsid w:val="00561BC0"/>
    <w:rsid w:val="00562CF2"/>
    <w:rsid w:val="00566C31"/>
    <w:rsid w:val="00573F1D"/>
    <w:rsid w:val="00577400"/>
    <w:rsid w:val="00581DB7"/>
    <w:rsid w:val="00582DED"/>
    <w:rsid w:val="00584CF8"/>
    <w:rsid w:val="005911A9"/>
    <w:rsid w:val="00594DD8"/>
    <w:rsid w:val="005954DA"/>
    <w:rsid w:val="005B2B3B"/>
    <w:rsid w:val="005B3A93"/>
    <w:rsid w:val="005B43A8"/>
    <w:rsid w:val="005B6E8D"/>
    <w:rsid w:val="005C724F"/>
    <w:rsid w:val="005D198E"/>
    <w:rsid w:val="005D7C89"/>
    <w:rsid w:val="00617B7D"/>
    <w:rsid w:val="00631621"/>
    <w:rsid w:val="00637CB9"/>
    <w:rsid w:val="0065284A"/>
    <w:rsid w:val="0067117D"/>
    <w:rsid w:val="006829B0"/>
    <w:rsid w:val="00686701"/>
    <w:rsid w:val="00691DC5"/>
    <w:rsid w:val="0069248E"/>
    <w:rsid w:val="006939E7"/>
    <w:rsid w:val="006C5680"/>
    <w:rsid w:val="006E029A"/>
    <w:rsid w:val="006E4CE8"/>
    <w:rsid w:val="00705615"/>
    <w:rsid w:val="00707BC2"/>
    <w:rsid w:val="00720CC8"/>
    <w:rsid w:val="007211BD"/>
    <w:rsid w:val="00721E97"/>
    <w:rsid w:val="007248EE"/>
    <w:rsid w:val="00727D32"/>
    <w:rsid w:val="007443BC"/>
    <w:rsid w:val="00745E77"/>
    <w:rsid w:val="00751849"/>
    <w:rsid w:val="00754AF2"/>
    <w:rsid w:val="00757A37"/>
    <w:rsid w:val="00770313"/>
    <w:rsid w:val="00781266"/>
    <w:rsid w:val="007815A3"/>
    <w:rsid w:val="00783C43"/>
    <w:rsid w:val="00786C7B"/>
    <w:rsid w:val="00790797"/>
    <w:rsid w:val="00791F0B"/>
    <w:rsid w:val="007A04A0"/>
    <w:rsid w:val="007A411D"/>
    <w:rsid w:val="007A7B59"/>
    <w:rsid w:val="007B416D"/>
    <w:rsid w:val="007B44F6"/>
    <w:rsid w:val="007C18A7"/>
    <w:rsid w:val="007C5EE5"/>
    <w:rsid w:val="007D0D31"/>
    <w:rsid w:val="007D787D"/>
    <w:rsid w:val="007E07E1"/>
    <w:rsid w:val="007E20F2"/>
    <w:rsid w:val="007E706F"/>
    <w:rsid w:val="007F2928"/>
    <w:rsid w:val="007F693D"/>
    <w:rsid w:val="0083328F"/>
    <w:rsid w:val="008332F9"/>
    <w:rsid w:val="008407B2"/>
    <w:rsid w:val="00846BC0"/>
    <w:rsid w:val="008504E4"/>
    <w:rsid w:val="00867DEE"/>
    <w:rsid w:val="00885E0E"/>
    <w:rsid w:val="008A576F"/>
    <w:rsid w:val="008B0DA0"/>
    <w:rsid w:val="008B1373"/>
    <w:rsid w:val="008B2575"/>
    <w:rsid w:val="008B567F"/>
    <w:rsid w:val="008C44C7"/>
    <w:rsid w:val="008C634D"/>
    <w:rsid w:val="008D1CA8"/>
    <w:rsid w:val="008F33A9"/>
    <w:rsid w:val="008F42BB"/>
    <w:rsid w:val="009071D1"/>
    <w:rsid w:val="009106F4"/>
    <w:rsid w:val="00911D1F"/>
    <w:rsid w:val="00912CFA"/>
    <w:rsid w:val="00927A70"/>
    <w:rsid w:val="00927B17"/>
    <w:rsid w:val="00940E44"/>
    <w:rsid w:val="00942340"/>
    <w:rsid w:val="00955E16"/>
    <w:rsid w:val="00956CD3"/>
    <w:rsid w:val="009652F7"/>
    <w:rsid w:val="0097191A"/>
    <w:rsid w:val="00975610"/>
    <w:rsid w:val="00990302"/>
    <w:rsid w:val="009916D4"/>
    <w:rsid w:val="00993C2A"/>
    <w:rsid w:val="009945AE"/>
    <w:rsid w:val="009C44A3"/>
    <w:rsid w:val="009D3C69"/>
    <w:rsid w:val="009D57B0"/>
    <w:rsid w:val="009E1C58"/>
    <w:rsid w:val="009F25EA"/>
    <w:rsid w:val="009F4328"/>
    <w:rsid w:val="009F4606"/>
    <w:rsid w:val="009F4E7E"/>
    <w:rsid w:val="00A132A6"/>
    <w:rsid w:val="00A14EE3"/>
    <w:rsid w:val="00A31508"/>
    <w:rsid w:val="00A44867"/>
    <w:rsid w:val="00A502B6"/>
    <w:rsid w:val="00A505BE"/>
    <w:rsid w:val="00A70A9E"/>
    <w:rsid w:val="00A722BE"/>
    <w:rsid w:val="00A72B54"/>
    <w:rsid w:val="00A812BE"/>
    <w:rsid w:val="00A82CEB"/>
    <w:rsid w:val="00A90502"/>
    <w:rsid w:val="00AB09D7"/>
    <w:rsid w:val="00AB1551"/>
    <w:rsid w:val="00AB4DE4"/>
    <w:rsid w:val="00AD5E56"/>
    <w:rsid w:val="00AE312D"/>
    <w:rsid w:val="00AE32E2"/>
    <w:rsid w:val="00AE7EBD"/>
    <w:rsid w:val="00B009B9"/>
    <w:rsid w:val="00B10DDE"/>
    <w:rsid w:val="00B1317D"/>
    <w:rsid w:val="00B1530E"/>
    <w:rsid w:val="00B272BD"/>
    <w:rsid w:val="00B275BF"/>
    <w:rsid w:val="00B3251E"/>
    <w:rsid w:val="00B34940"/>
    <w:rsid w:val="00B362D8"/>
    <w:rsid w:val="00B373FD"/>
    <w:rsid w:val="00B37D61"/>
    <w:rsid w:val="00B62D15"/>
    <w:rsid w:val="00B644C3"/>
    <w:rsid w:val="00B72AA0"/>
    <w:rsid w:val="00B87273"/>
    <w:rsid w:val="00B9345E"/>
    <w:rsid w:val="00BC045C"/>
    <w:rsid w:val="00BC3787"/>
    <w:rsid w:val="00BC6FA6"/>
    <w:rsid w:val="00BD1FCB"/>
    <w:rsid w:val="00BD23B1"/>
    <w:rsid w:val="00BE275F"/>
    <w:rsid w:val="00BF6156"/>
    <w:rsid w:val="00C05C22"/>
    <w:rsid w:val="00C07DAF"/>
    <w:rsid w:val="00C132AA"/>
    <w:rsid w:val="00C1450D"/>
    <w:rsid w:val="00C15B74"/>
    <w:rsid w:val="00C3017F"/>
    <w:rsid w:val="00C3234C"/>
    <w:rsid w:val="00C34DF6"/>
    <w:rsid w:val="00C53D75"/>
    <w:rsid w:val="00C56D42"/>
    <w:rsid w:val="00C5797E"/>
    <w:rsid w:val="00C72073"/>
    <w:rsid w:val="00C72D9D"/>
    <w:rsid w:val="00CA42E0"/>
    <w:rsid w:val="00CB3541"/>
    <w:rsid w:val="00CC3FD1"/>
    <w:rsid w:val="00CD0CDF"/>
    <w:rsid w:val="00CD310C"/>
    <w:rsid w:val="00CD4FCA"/>
    <w:rsid w:val="00CE04D4"/>
    <w:rsid w:val="00CE236A"/>
    <w:rsid w:val="00CE3A22"/>
    <w:rsid w:val="00CE7556"/>
    <w:rsid w:val="00CF5D2D"/>
    <w:rsid w:val="00CF61E8"/>
    <w:rsid w:val="00D05760"/>
    <w:rsid w:val="00D17FE0"/>
    <w:rsid w:val="00D221AA"/>
    <w:rsid w:val="00D23C91"/>
    <w:rsid w:val="00D242B2"/>
    <w:rsid w:val="00D42757"/>
    <w:rsid w:val="00D43AA8"/>
    <w:rsid w:val="00D46759"/>
    <w:rsid w:val="00D46BAF"/>
    <w:rsid w:val="00D50909"/>
    <w:rsid w:val="00D51BA6"/>
    <w:rsid w:val="00D616A5"/>
    <w:rsid w:val="00D65D4A"/>
    <w:rsid w:val="00D76B94"/>
    <w:rsid w:val="00D80F93"/>
    <w:rsid w:val="00DA624C"/>
    <w:rsid w:val="00DB44F5"/>
    <w:rsid w:val="00DE0FD1"/>
    <w:rsid w:val="00DE7F64"/>
    <w:rsid w:val="00E03F9F"/>
    <w:rsid w:val="00E17DDD"/>
    <w:rsid w:val="00E25569"/>
    <w:rsid w:val="00E30F56"/>
    <w:rsid w:val="00E373DE"/>
    <w:rsid w:val="00E44670"/>
    <w:rsid w:val="00E46984"/>
    <w:rsid w:val="00E47E3B"/>
    <w:rsid w:val="00E513D5"/>
    <w:rsid w:val="00E5399C"/>
    <w:rsid w:val="00E6434C"/>
    <w:rsid w:val="00E65032"/>
    <w:rsid w:val="00E70CC3"/>
    <w:rsid w:val="00E85D41"/>
    <w:rsid w:val="00E93A6C"/>
    <w:rsid w:val="00EA11C8"/>
    <w:rsid w:val="00EB0B90"/>
    <w:rsid w:val="00EB2779"/>
    <w:rsid w:val="00EB4948"/>
    <w:rsid w:val="00EC7C7B"/>
    <w:rsid w:val="00EE1B91"/>
    <w:rsid w:val="00EF4FAB"/>
    <w:rsid w:val="00EF50D3"/>
    <w:rsid w:val="00F12BEA"/>
    <w:rsid w:val="00F139B9"/>
    <w:rsid w:val="00F1402A"/>
    <w:rsid w:val="00F1788B"/>
    <w:rsid w:val="00F22036"/>
    <w:rsid w:val="00F25CF2"/>
    <w:rsid w:val="00F271E9"/>
    <w:rsid w:val="00F3543F"/>
    <w:rsid w:val="00F403CC"/>
    <w:rsid w:val="00F43A5A"/>
    <w:rsid w:val="00F51223"/>
    <w:rsid w:val="00F52BE8"/>
    <w:rsid w:val="00F530D8"/>
    <w:rsid w:val="00F57089"/>
    <w:rsid w:val="00F67833"/>
    <w:rsid w:val="00F712CC"/>
    <w:rsid w:val="00F95652"/>
    <w:rsid w:val="00FB6816"/>
    <w:rsid w:val="00FB6A7B"/>
    <w:rsid w:val="00FC2711"/>
    <w:rsid w:val="00FC35F0"/>
    <w:rsid w:val="00FD28C0"/>
    <w:rsid w:val="00FD5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97AF1E22-DEB1-4EEF-995E-3A2205D8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41765"/>
    <w:pPr>
      <w:jc w:val="both"/>
    </w:pPr>
    <w:rPr>
      <w:sz w:val="24"/>
      <w:lang w:eastAsia="zh-TW"/>
    </w:rPr>
  </w:style>
  <w:style w:type="paragraph" w:styleId="Heading1">
    <w:name w:val="heading 1"/>
    <w:basedOn w:val="Normal"/>
    <w:next w:val="Normal"/>
    <w:rsid w:val="00C56D42"/>
    <w:pPr>
      <w:keepNext/>
      <w:numPr>
        <w:numId w:val="14"/>
      </w:numPr>
      <w:spacing w:after="120" w:line="480" w:lineRule="auto"/>
      <w:jc w:val="center"/>
      <w:outlineLvl w:val="0"/>
    </w:pPr>
    <w:rPr>
      <w:b/>
      <w:caps/>
      <w:sz w:val="28"/>
    </w:rPr>
  </w:style>
  <w:style w:type="paragraph" w:styleId="Heading2">
    <w:name w:val="heading 2"/>
    <w:basedOn w:val="Heading1"/>
    <w:next w:val="Normal"/>
    <w:rsid w:val="00C56D42"/>
    <w:pPr>
      <w:numPr>
        <w:ilvl w:val="1"/>
      </w:numPr>
      <w:jc w:val="left"/>
      <w:outlineLvl w:val="1"/>
    </w:pPr>
    <w:rPr>
      <w:caps w:val="0"/>
    </w:rPr>
  </w:style>
  <w:style w:type="paragraph" w:styleId="Heading3">
    <w:name w:val="heading 3"/>
    <w:basedOn w:val="Heading2"/>
    <w:next w:val="Normal"/>
    <w:rsid w:val="00C56D42"/>
    <w:pPr>
      <w:numPr>
        <w:ilvl w:val="2"/>
      </w:numPr>
      <w:outlineLvl w:val="2"/>
    </w:pPr>
  </w:style>
  <w:style w:type="paragraph" w:styleId="Heading4">
    <w:name w:val="heading 4"/>
    <w:basedOn w:val="Heading3"/>
    <w:next w:val="Normal"/>
    <w:rsid w:val="00C56D42"/>
    <w:pPr>
      <w:numPr>
        <w:ilvl w:val="3"/>
      </w:numPr>
      <w:outlineLvl w:val="3"/>
    </w:pPr>
  </w:style>
  <w:style w:type="paragraph" w:styleId="Heading5">
    <w:name w:val="heading 5"/>
    <w:basedOn w:val="Heading4"/>
    <w:next w:val="Normal"/>
    <w:rsid w:val="00C56D42"/>
    <w:pPr>
      <w:numPr>
        <w:ilvl w:val="4"/>
      </w:numPr>
      <w:outlineLvl w:val="4"/>
    </w:pPr>
  </w:style>
  <w:style w:type="paragraph" w:styleId="Heading6">
    <w:name w:val="heading 6"/>
    <w:basedOn w:val="Heading5"/>
    <w:next w:val="Normal"/>
    <w:rsid w:val="00C56D42"/>
    <w:pPr>
      <w:numPr>
        <w:ilvl w:val="5"/>
      </w:numPr>
      <w:outlineLvl w:val="5"/>
    </w:pPr>
  </w:style>
  <w:style w:type="paragraph" w:styleId="Heading7">
    <w:name w:val="heading 7"/>
    <w:basedOn w:val="Heading6"/>
    <w:next w:val="Normal"/>
    <w:rsid w:val="00C56D42"/>
    <w:pPr>
      <w:numPr>
        <w:ilvl w:val="6"/>
      </w:numPr>
      <w:outlineLvl w:val="6"/>
    </w:pPr>
  </w:style>
  <w:style w:type="paragraph" w:styleId="Heading8">
    <w:name w:val="heading 8"/>
    <w:basedOn w:val="Heading7"/>
    <w:next w:val="Normal"/>
    <w:rsid w:val="00C56D42"/>
    <w:pPr>
      <w:numPr>
        <w:ilvl w:val="7"/>
      </w:numPr>
      <w:outlineLvl w:val="7"/>
    </w:pPr>
  </w:style>
  <w:style w:type="paragraph" w:styleId="Heading9">
    <w:name w:val="heading 9"/>
    <w:basedOn w:val="Heading8"/>
    <w:next w:val="Normal"/>
    <w:rsid w:val="00C56D4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0D496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rsid w:val="008C634D"/>
    <w:pPr>
      <w:tabs>
        <w:tab w:val="center" w:pos="4680"/>
        <w:tab w:val="right" w:pos="9360"/>
      </w:tabs>
      <w:jc w:val="left"/>
    </w:pPr>
    <w:rPr>
      <w:rFonts w:eastAsia="SimSun"/>
      <w:sz w:val="20"/>
      <w:lang w:eastAsia="zh-CN"/>
    </w:rPr>
  </w:style>
  <w:style w:type="paragraph" w:styleId="Footer">
    <w:name w:val="footer"/>
    <w:basedOn w:val="Normal"/>
    <w:semiHidden/>
    <w:rsid w:val="00B3251E"/>
    <w:pPr>
      <w:tabs>
        <w:tab w:val="center" w:pos="4680"/>
        <w:tab w:val="right" w:pos="9360"/>
      </w:tabs>
      <w:jc w:val="left"/>
    </w:pPr>
    <w:rPr>
      <w:rFonts w:eastAsia="SimSun"/>
      <w:sz w:val="20"/>
      <w:lang w:eastAsia="zh-CN"/>
    </w:rPr>
  </w:style>
  <w:style w:type="paragraph" w:customStyle="1" w:styleId="BodyTextIndented">
    <w:name w:val="Body Text Indented"/>
    <w:basedOn w:val="Normal"/>
    <w:link w:val="BodyTextIndentedCharChar"/>
    <w:qFormat/>
    <w:rsid w:val="00BF615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BF6156"/>
    <w:rPr>
      <w:rFonts w:eastAsia="SimSun"/>
      <w:sz w:val="24"/>
      <w:szCs w:val="24"/>
      <w:lang w:eastAsia="zh-CN"/>
    </w:rPr>
  </w:style>
  <w:style w:type="character" w:customStyle="1" w:styleId="StyleBold">
    <w:name w:val="Style Bold"/>
    <w:basedOn w:val="DefaultParagraphFont"/>
    <w:semiHidden/>
    <w:rsid w:val="000D496A"/>
    <w:rPr>
      <w:b/>
      <w:bCs/>
      <w:caps/>
    </w:rPr>
  </w:style>
  <w:style w:type="paragraph" w:customStyle="1" w:styleId="NumberedParagraph">
    <w:name w:val="Numbered Paragraph"/>
    <w:basedOn w:val="BodyTextIndented"/>
    <w:qFormat/>
    <w:rsid w:val="00F712CC"/>
    <w:pPr>
      <w:numPr>
        <w:numId w:val="11"/>
      </w:numPr>
      <w:tabs>
        <w:tab w:val="clear" w:pos="720"/>
      </w:tabs>
    </w:pPr>
  </w:style>
  <w:style w:type="paragraph" w:customStyle="1" w:styleId="OrderHeading1">
    <w:name w:val="Order Heading 1"/>
    <w:qFormat/>
    <w:rsid w:val="005B3A93"/>
    <w:pPr>
      <w:keepNext/>
      <w:keepLines/>
      <w:numPr>
        <w:numId w:val="13"/>
      </w:numPr>
      <w:spacing w:before="480" w:after="120"/>
      <w:jc w:val="center"/>
      <w:outlineLvl w:val="0"/>
    </w:pPr>
    <w:rPr>
      <w:b/>
      <w:sz w:val="24"/>
      <w:lang w:eastAsia="zh-TW"/>
    </w:rPr>
  </w:style>
  <w:style w:type="paragraph" w:customStyle="1" w:styleId="OrderHeading2">
    <w:name w:val="Order Heading 2"/>
    <w:basedOn w:val="OrderHeading1"/>
    <w:qFormat/>
    <w:rsid w:val="005B3A93"/>
    <w:pPr>
      <w:numPr>
        <w:ilvl w:val="1"/>
        <w:numId w:val="12"/>
      </w:numPr>
      <w:tabs>
        <w:tab w:val="clear" w:pos="0"/>
      </w:tabs>
      <w:spacing w:before="360"/>
      <w:outlineLvl w:val="1"/>
    </w:pPr>
  </w:style>
  <w:style w:type="paragraph" w:customStyle="1" w:styleId="OrderHeading3">
    <w:name w:val="Order Heading 3"/>
    <w:basedOn w:val="OrderHeading1"/>
    <w:qFormat/>
    <w:rsid w:val="00AB09D7"/>
    <w:pPr>
      <w:numPr>
        <w:ilvl w:val="2"/>
      </w:numPr>
      <w:tabs>
        <w:tab w:val="clear" w:pos="0"/>
      </w:tabs>
      <w:spacing w:before="240"/>
      <w:jc w:val="left"/>
      <w:outlineLvl w:val="2"/>
    </w:pPr>
    <w:rPr>
      <w:bCs/>
    </w:rPr>
  </w:style>
  <w:style w:type="paragraph" w:customStyle="1" w:styleId="OrderHeading4">
    <w:name w:val="Order Heading 4"/>
    <w:basedOn w:val="OrderHeading1"/>
    <w:qFormat/>
    <w:rsid w:val="00AB09D7"/>
    <w:pPr>
      <w:numPr>
        <w:ilvl w:val="3"/>
      </w:numPr>
      <w:tabs>
        <w:tab w:val="clear" w:pos="0"/>
      </w:tabs>
      <w:spacing w:before="240"/>
      <w:jc w:val="left"/>
    </w:pPr>
    <w:rPr>
      <w:bCs/>
    </w:rPr>
  </w:style>
  <w:style w:type="paragraph" w:customStyle="1" w:styleId="OrderHeading5">
    <w:name w:val="Order Heading 5"/>
    <w:basedOn w:val="OrderHeading1"/>
    <w:qFormat/>
    <w:rsid w:val="00AB09D7"/>
    <w:pPr>
      <w:numPr>
        <w:ilvl w:val="4"/>
      </w:numPr>
      <w:tabs>
        <w:tab w:val="clear" w:pos="0"/>
      </w:tabs>
      <w:spacing w:before="240" w:after="60"/>
      <w:jc w:val="left"/>
      <w:outlineLvl w:val="4"/>
    </w:pPr>
    <w:rPr>
      <w:bCs/>
    </w:rPr>
  </w:style>
  <w:style w:type="numbering" w:styleId="111111">
    <w:name w:val="Outline List 2"/>
    <w:basedOn w:val="NoList"/>
    <w:semiHidden/>
    <w:rsid w:val="00955E16"/>
    <w:pPr>
      <w:numPr>
        <w:numId w:val="15"/>
      </w:numPr>
    </w:pPr>
  </w:style>
  <w:style w:type="numbering" w:styleId="1ai">
    <w:name w:val="Outline List 1"/>
    <w:basedOn w:val="NoList"/>
    <w:semiHidden/>
    <w:rsid w:val="00955E16"/>
    <w:pPr>
      <w:numPr>
        <w:numId w:val="16"/>
      </w:numPr>
    </w:pPr>
  </w:style>
  <w:style w:type="numbering" w:styleId="ArticleSection">
    <w:name w:val="Outline List 3"/>
    <w:basedOn w:val="NoList"/>
    <w:semiHidden/>
    <w:rsid w:val="00955E16"/>
    <w:pPr>
      <w:numPr>
        <w:numId w:val="17"/>
      </w:numPr>
    </w:pPr>
  </w:style>
  <w:style w:type="paragraph" w:styleId="BlockText">
    <w:name w:val="Block Text"/>
    <w:basedOn w:val="Normal"/>
    <w:semiHidden/>
    <w:rsid w:val="00955E16"/>
    <w:pPr>
      <w:spacing w:after="120"/>
      <w:ind w:left="1440" w:right="1440"/>
    </w:pPr>
  </w:style>
  <w:style w:type="paragraph" w:styleId="BodyTextFirstIndent">
    <w:name w:val="Body Text First Indent"/>
    <w:basedOn w:val="Normal"/>
    <w:semiHidden/>
    <w:rsid w:val="00483C03"/>
    <w:pPr>
      <w:spacing w:after="120"/>
      <w:ind w:firstLine="210"/>
    </w:pPr>
  </w:style>
  <w:style w:type="paragraph" w:styleId="BodyTextIndent">
    <w:name w:val="Body Text Indent"/>
    <w:basedOn w:val="Normal"/>
    <w:semiHidden/>
    <w:rsid w:val="00955E16"/>
    <w:pPr>
      <w:spacing w:after="120"/>
      <w:ind w:left="360"/>
    </w:pPr>
  </w:style>
  <w:style w:type="paragraph" w:styleId="BodyTextFirstIndent2">
    <w:name w:val="Body Text First Indent 2"/>
    <w:basedOn w:val="BodyTextIndent"/>
    <w:semiHidden/>
    <w:rsid w:val="00955E16"/>
    <w:pPr>
      <w:ind w:firstLine="210"/>
    </w:pPr>
  </w:style>
  <w:style w:type="paragraph" w:styleId="BodyTextIndent2">
    <w:name w:val="Body Text Indent 2"/>
    <w:basedOn w:val="Normal"/>
    <w:semiHidden/>
    <w:rsid w:val="00955E16"/>
    <w:pPr>
      <w:spacing w:after="120" w:line="480" w:lineRule="auto"/>
      <w:ind w:left="360"/>
    </w:pPr>
  </w:style>
  <w:style w:type="paragraph" w:styleId="BodyTextIndent3">
    <w:name w:val="Body Text Indent 3"/>
    <w:basedOn w:val="Normal"/>
    <w:semiHidden/>
    <w:rsid w:val="00955E16"/>
    <w:pPr>
      <w:spacing w:after="120"/>
      <w:ind w:left="360"/>
    </w:pPr>
    <w:rPr>
      <w:sz w:val="16"/>
      <w:szCs w:val="16"/>
    </w:rPr>
  </w:style>
  <w:style w:type="paragraph" w:styleId="Closing">
    <w:name w:val="Closing"/>
    <w:basedOn w:val="Normal"/>
    <w:semiHidden/>
    <w:rsid w:val="00955E16"/>
    <w:pPr>
      <w:ind w:left="4320"/>
    </w:pPr>
  </w:style>
  <w:style w:type="paragraph" w:styleId="Date">
    <w:name w:val="Date"/>
    <w:basedOn w:val="Normal"/>
    <w:next w:val="Normal"/>
    <w:semiHidden/>
    <w:rsid w:val="00955E16"/>
  </w:style>
  <w:style w:type="paragraph" w:styleId="E-mailSignature">
    <w:name w:val="E-mail Signature"/>
    <w:basedOn w:val="Normal"/>
    <w:semiHidden/>
    <w:rsid w:val="00955E16"/>
  </w:style>
  <w:style w:type="character" w:styleId="Emphasis">
    <w:name w:val="Emphasis"/>
    <w:basedOn w:val="DefaultParagraphFont"/>
    <w:rsid w:val="00955E16"/>
    <w:rPr>
      <w:i/>
      <w:iCs/>
    </w:rPr>
  </w:style>
  <w:style w:type="paragraph" w:styleId="EnvelopeAddress">
    <w:name w:val="envelope address"/>
    <w:basedOn w:val="Normal"/>
    <w:semiHidden/>
    <w:rsid w:val="00955E16"/>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sid w:val="00955E16"/>
    <w:rPr>
      <w:rFonts w:ascii="Arial" w:hAnsi="Arial" w:cs="Arial"/>
      <w:sz w:val="20"/>
    </w:rPr>
  </w:style>
  <w:style w:type="character" w:styleId="FollowedHyperlink">
    <w:name w:val="FollowedHyperlink"/>
    <w:basedOn w:val="DefaultParagraphFont"/>
    <w:semiHidden/>
    <w:rsid w:val="00955E16"/>
    <w:rPr>
      <w:color w:val="606420"/>
      <w:u w:val="single"/>
    </w:rPr>
  </w:style>
  <w:style w:type="character" w:styleId="HTMLAcronym">
    <w:name w:val="HTML Acronym"/>
    <w:basedOn w:val="DefaultParagraphFont"/>
    <w:semiHidden/>
    <w:rsid w:val="00955E16"/>
  </w:style>
  <w:style w:type="paragraph" w:styleId="HTMLAddress">
    <w:name w:val="HTML Address"/>
    <w:basedOn w:val="Normal"/>
    <w:semiHidden/>
    <w:rsid w:val="00955E16"/>
    <w:rPr>
      <w:i/>
      <w:iCs/>
    </w:rPr>
  </w:style>
  <w:style w:type="character" w:styleId="HTMLCite">
    <w:name w:val="HTML Cite"/>
    <w:basedOn w:val="DefaultParagraphFont"/>
    <w:semiHidden/>
    <w:rsid w:val="00955E16"/>
    <w:rPr>
      <w:i/>
      <w:iCs/>
    </w:rPr>
  </w:style>
  <w:style w:type="character" w:styleId="HTMLCode">
    <w:name w:val="HTML Code"/>
    <w:basedOn w:val="DefaultParagraphFont"/>
    <w:semiHidden/>
    <w:rsid w:val="00955E16"/>
    <w:rPr>
      <w:rFonts w:ascii="Courier New" w:hAnsi="Courier New" w:cs="Courier New"/>
      <w:sz w:val="20"/>
      <w:szCs w:val="20"/>
    </w:rPr>
  </w:style>
  <w:style w:type="character" w:styleId="HTMLDefinition">
    <w:name w:val="HTML Definition"/>
    <w:basedOn w:val="DefaultParagraphFont"/>
    <w:semiHidden/>
    <w:rsid w:val="00955E16"/>
    <w:rPr>
      <w:i/>
      <w:iCs/>
    </w:rPr>
  </w:style>
  <w:style w:type="character" w:styleId="HTMLKeyboard">
    <w:name w:val="HTML Keyboard"/>
    <w:basedOn w:val="DefaultParagraphFont"/>
    <w:semiHidden/>
    <w:rsid w:val="00955E16"/>
    <w:rPr>
      <w:rFonts w:ascii="Courier New" w:hAnsi="Courier New" w:cs="Courier New"/>
      <w:sz w:val="20"/>
      <w:szCs w:val="20"/>
    </w:rPr>
  </w:style>
  <w:style w:type="paragraph" w:styleId="HTMLPreformatted">
    <w:name w:val="HTML Preformatted"/>
    <w:basedOn w:val="Normal"/>
    <w:semiHidden/>
    <w:rsid w:val="00955E16"/>
    <w:rPr>
      <w:rFonts w:ascii="Courier New" w:hAnsi="Courier New" w:cs="Courier New"/>
      <w:sz w:val="20"/>
    </w:rPr>
  </w:style>
  <w:style w:type="character" w:styleId="HTMLSample">
    <w:name w:val="HTML Sample"/>
    <w:basedOn w:val="DefaultParagraphFont"/>
    <w:semiHidden/>
    <w:rsid w:val="00955E16"/>
    <w:rPr>
      <w:rFonts w:ascii="Courier New" w:hAnsi="Courier New" w:cs="Courier New"/>
    </w:rPr>
  </w:style>
  <w:style w:type="character" w:styleId="HTMLTypewriter">
    <w:name w:val="HTML Typewriter"/>
    <w:basedOn w:val="DefaultParagraphFont"/>
    <w:semiHidden/>
    <w:rsid w:val="00955E16"/>
    <w:rPr>
      <w:rFonts w:ascii="Courier New" w:hAnsi="Courier New" w:cs="Courier New"/>
      <w:sz w:val="20"/>
      <w:szCs w:val="20"/>
    </w:rPr>
  </w:style>
  <w:style w:type="character" w:styleId="HTMLVariable">
    <w:name w:val="HTML Variable"/>
    <w:basedOn w:val="DefaultParagraphFont"/>
    <w:semiHidden/>
    <w:rsid w:val="00955E16"/>
    <w:rPr>
      <w:i/>
      <w:iCs/>
    </w:rPr>
  </w:style>
  <w:style w:type="character" w:styleId="Hyperlink">
    <w:name w:val="Hyperlink"/>
    <w:basedOn w:val="DefaultParagraphFont"/>
    <w:semiHidden/>
    <w:rsid w:val="00955E16"/>
    <w:rPr>
      <w:color w:val="0000FF"/>
      <w:u w:val="single"/>
    </w:rPr>
  </w:style>
  <w:style w:type="character" w:styleId="LineNumber">
    <w:name w:val="line number"/>
    <w:basedOn w:val="DefaultParagraphFont"/>
    <w:semiHidden/>
    <w:rsid w:val="00955E16"/>
  </w:style>
  <w:style w:type="paragraph" w:styleId="List">
    <w:name w:val="List"/>
    <w:basedOn w:val="Normal"/>
    <w:semiHidden/>
    <w:rsid w:val="00955E16"/>
    <w:pPr>
      <w:ind w:left="360" w:hanging="360"/>
    </w:pPr>
  </w:style>
  <w:style w:type="paragraph" w:styleId="List2">
    <w:name w:val="List 2"/>
    <w:basedOn w:val="Normal"/>
    <w:semiHidden/>
    <w:rsid w:val="00955E16"/>
    <w:pPr>
      <w:ind w:left="720" w:hanging="360"/>
    </w:pPr>
  </w:style>
  <w:style w:type="paragraph" w:styleId="List3">
    <w:name w:val="List 3"/>
    <w:basedOn w:val="Normal"/>
    <w:semiHidden/>
    <w:rsid w:val="00955E16"/>
    <w:pPr>
      <w:ind w:left="1080" w:hanging="360"/>
    </w:pPr>
  </w:style>
  <w:style w:type="paragraph" w:styleId="List4">
    <w:name w:val="List 4"/>
    <w:basedOn w:val="Normal"/>
    <w:semiHidden/>
    <w:rsid w:val="00955E16"/>
    <w:pPr>
      <w:ind w:left="1440" w:hanging="360"/>
    </w:pPr>
  </w:style>
  <w:style w:type="paragraph" w:styleId="List5">
    <w:name w:val="List 5"/>
    <w:basedOn w:val="Normal"/>
    <w:semiHidden/>
    <w:rsid w:val="00955E16"/>
    <w:pPr>
      <w:ind w:left="1800" w:hanging="360"/>
    </w:pPr>
  </w:style>
  <w:style w:type="paragraph" w:styleId="ListBullet">
    <w:name w:val="List Bullet"/>
    <w:basedOn w:val="Normal"/>
    <w:semiHidden/>
    <w:rsid w:val="00955E16"/>
    <w:pPr>
      <w:numPr>
        <w:numId w:val="1"/>
      </w:numPr>
    </w:pPr>
  </w:style>
  <w:style w:type="paragraph" w:styleId="ListBullet2">
    <w:name w:val="List Bullet 2"/>
    <w:basedOn w:val="Normal"/>
    <w:semiHidden/>
    <w:rsid w:val="00955E16"/>
    <w:pPr>
      <w:numPr>
        <w:numId w:val="2"/>
      </w:numPr>
    </w:pPr>
  </w:style>
  <w:style w:type="paragraph" w:styleId="ListBullet3">
    <w:name w:val="List Bullet 3"/>
    <w:basedOn w:val="Normal"/>
    <w:semiHidden/>
    <w:rsid w:val="00955E16"/>
    <w:pPr>
      <w:numPr>
        <w:numId w:val="3"/>
      </w:numPr>
    </w:pPr>
  </w:style>
  <w:style w:type="paragraph" w:styleId="ListBullet4">
    <w:name w:val="List Bullet 4"/>
    <w:basedOn w:val="Normal"/>
    <w:semiHidden/>
    <w:rsid w:val="00955E16"/>
    <w:pPr>
      <w:numPr>
        <w:numId w:val="4"/>
      </w:numPr>
    </w:pPr>
  </w:style>
  <w:style w:type="paragraph" w:styleId="ListBullet5">
    <w:name w:val="List Bullet 5"/>
    <w:basedOn w:val="Normal"/>
    <w:semiHidden/>
    <w:rsid w:val="00955E16"/>
    <w:pPr>
      <w:numPr>
        <w:numId w:val="5"/>
      </w:numPr>
    </w:pPr>
  </w:style>
  <w:style w:type="paragraph" w:styleId="ListContinue">
    <w:name w:val="List Continue"/>
    <w:basedOn w:val="Normal"/>
    <w:semiHidden/>
    <w:rsid w:val="00955E16"/>
    <w:pPr>
      <w:spacing w:after="120"/>
      <w:ind w:left="360"/>
    </w:pPr>
  </w:style>
  <w:style w:type="paragraph" w:styleId="ListContinue2">
    <w:name w:val="List Continue 2"/>
    <w:basedOn w:val="Normal"/>
    <w:semiHidden/>
    <w:rsid w:val="00955E16"/>
    <w:pPr>
      <w:spacing w:after="120"/>
      <w:ind w:left="720"/>
    </w:pPr>
  </w:style>
  <w:style w:type="paragraph" w:styleId="ListContinue3">
    <w:name w:val="List Continue 3"/>
    <w:basedOn w:val="Normal"/>
    <w:semiHidden/>
    <w:rsid w:val="00955E16"/>
    <w:pPr>
      <w:spacing w:after="120"/>
      <w:ind w:left="1080"/>
    </w:pPr>
  </w:style>
  <w:style w:type="paragraph" w:styleId="ListContinue4">
    <w:name w:val="List Continue 4"/>
    <w:basedOn w:val="Normal"/>
    <w:semiHidden/>
    <w:rsid w:val="00955E16"/>
    <w:pPr>
      <w:spacing w:after="120"/>
      <w:ind w:left="1440"/>
    </w:pPr>
  </w:style>
  <w:style w:type="paragraph" w:styleId="ListContinue5">
    <w:name w:val="List Continue 5"/>
    <w:basedOn w:val="Normal"/>
    <w:semiHidden/>
    <w:rsid w:val="00955E16"/>
    <w:pPr>
      <w:spacing w:after="120"/>
      <w:ind w:left="1800"/>
    </w:pPr>
  </w:style>
  <w:style w:type="paragraph" w:styleId="ListNumber">
    <w:name w:val="List Number"/>
    <w:basedOn w:val="Normal"/>
    <w:semiHidden/>
    <w:rsid w:val="00955E16"/>
    <w:pPr>
      <w:numPr>
        <w:numId w:val="6"/>
      </w:numPr>
    </w:pPr>
  </w:style>
  <w:style w:type="paragraph" w:styleId="ListNumber2">
    <w:name w:val="List Number 2"/>
    <w:basedOn w:val="Normal"/>
    <w:semiHidden/>
    <w:rsid w:val="00955E16"/>
    <w:pPr>
      <w:numPr>
        <w:numId w:val="7"/>
      </w:numPr>
    </w:pPr>
  </w:style>
  <w:style w:type="paragraph" w:styleId="ListNumber3">
    <w:name w:val="List Number 3"/>
    <w:basedOn w:val="Normal"/>
    <w:semiHidden/>
    <w:rsid w:val="00955E16"/>
    <w:pPr>
      <w:numPr>
        <w:numId w:val="8"/>
      </w:numPr>
    </w:pPr>
  </w:style>
  <w:style w:type="paragraph" w:styleId="ListNumber4">
    <w:name w:val="List Number 4"/>
    <w:basedOn w:val="Normal"/>
    <w:semiHidden/>
    <w:rsid w:val="00955E16"/>
    <w:pPr>
      <w:numPr>
        <w:numId w:val="9"/>
      </w:numPr>
    </w:pPr>
  </w:style>
  <w:style w:type="paragraph" w:styleId="ListNumber5">
    <w:name w:val="List Number 5"/>
    <w:basedOn w:val="Normal"/>
    <w:semiHidden/>
    <w:rsid w:val="00955E16"/>
    <w:pPr>
      <w:numPr>
        <w:numId w:val="10"/>
      </w:numPr>
    </w:pPr>
  </w:style>
  <w:style w:type="paragraph" w:styleId="MessageHeader">
    <w:name w:val="Message Header"/>
    <w:basedOn w:val="Normal"/>
    <w:semiHidden/>
    <w:rsid w:val="00955E1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semiHidden/>
    <w:rsid w:val="00955E16"/>
    <w:rPr>
      <w:szCs w:val="24"/>
    </w:rPr>
  </w:style>
  <w:style w:type="paragraph" w:styleId="NormalIndent">
    <w:name w:val="Normal Indent"/>
    <w:basedOn w:val="Normal"/>
    <w:semiHidden/>
    <w:rsid w:val="00955E16"/>
    <w:pPr>
      <w:ind w:left="720"/>
    </w:pPr>
  </w:style>
  <w:style w:type="paragraph" w:styleId="NoteHeading">
    <w:name w:val="Note Heading"/>
    <w:basedOn w:val="Normal"/>
    <w:next w:val="Normal"/>
    <w:semiHidden/>
    <w:rsid w:val="00955E16"/>
  </w:style>
  <w:style w:type="character" w:styleId="PageNumber">
    <w:name w:val="page number"/>
    <w:basedOn w:val="DefaultParagraphFont"/>
    <w:semiHidden/>
    <w:rsid w:val="00955E16"/>
  </w:style>
  <w:style w:type="paragraph" w:styleId="PlainText">
    <w:name w:val="Plain Text"/>
    <w:basedOn w:val="Normal"/>
    <w:semiHidden/>
    <w:rsid w:val="00955E16"/>
    <w:rPr>
      <w:rFonts w:ascii="Courier New" w:hAnsi="Courier New" w:cs="Courier New"/>
      <w:sz w:val="20"/>
    </w:rPr>
  </w:style>
  <w:style w:type="paragraph" w:styleId="Salutation">
    <w:name w:val="Salutation"/>
    <w:basedOn w:val="Normal"/>
    <w:next w:val="Normal"/>
    <w:semiHidden/>
    <w:rsid w:val="00955E16"/>
  </w:style>
  <w:style w:type="paragraph" w:styleId="Signature">
    <w:name w:val="Signature"/>
    <w:basedOn w:val="Normal"/>
    <w:semiHidden/>
    <w:rsid w:val="00955E16"/>
    <w:pPr>
      <w:ind w:left="4320"/>
    </w:pPr>
  </w:style>
  <w:style w:type="character" w:styleId="Strong">
    <w:name w:val="Strong"/>
    <w:basedOn w:val="DefaultParagraphFont"/>
    <w:rsid w:val="00955E16"/>
    <w:rPr>
      <w:b/>
      <w:bCs/>
    </w:rPr>
  </w:style>
  <w:style w:type="paragraph" w:styleId="Subtitle">
    <w:name w:val="Subtitle"/>
    <w:basedOn w:val="Normal"/>
    <w:rsid w:val="00955E16"/>
    <w:pPr>
      <w:spacing w:after="60"/>
      <w:jc w:val="center"/>
      <w:outlineLvl w:val="1"/>
    </w:pPr>
    <w:rPr>
      <w:rFonts w:ascii="Arial" w:hAnsi="Arial" w:cs="Arial"/>
      <w:szCs w:val="24"/>
    </w:rPr>
  </w:style>
  <w:style w:type="table" w:styleId="Table3Deffects1">
    <w:name w:val="Table 3D effects 1"/>
    <w:basedOn w:val="TableNormal"/>
    <w:semiHidden/>
    <w:rsid w:val="00955E16"/>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55E16"/>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55E16"/>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55E16"/>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55E16"/>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55E16"/>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55E16"/>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55E16"/>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55E16"/>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55E16"/>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55E16"/>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55E16"/>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55E16"/>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55E16"/>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55E16"/>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55E16"/>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55E16"/>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55E1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55E16"/>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55E16"/>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55E16"/>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55E16"/>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55E16"/>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55E16"/>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55E16"/>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55E16"/>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55E16"/>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55E16"/>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55E16"/>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55E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55E16"/>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55E16"/>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55E16"/>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rsid w:val="00955E16"/>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rsid w:val="00B3251E"/>
    <w:rPr>
      <w:vertAlign w:val="superscript"/>
    </w:rPr>
  </w:style>
  <w:style w:type="paragraph" w:styleId="FootnoteText">
    <w:name w:val="footnote text"/>
    <w:basedOn w:val="Normal"/>
    <w:qFormat/>
    <w:rsid w:val="00CD0CDF"/>
    <w:pPr>
      <w:spacing w:before="120"/>
      <w:ind w:firstLine="720"/>
    </w:pPr>
    <w:rPr>
      <w:sz w:val="20"/>
    </w:rPr>
  </w:style>
  <w:style w:type="paragraph" w:customStyle="1" w:styleId="BlockQuote">
    <w:name w:val="Block Quote"/>
    <w:basedOn w:val="BodyTextIndented"/>
    <w:qFormat/>
    <w:rsid w:val="00566C31"/>
    <w:pPr>
      <w:spacing w:after="240" w:line="240" w:lineRule="auto"/>
      <w:ind w:left="720" w:right="720" w:firstLine="0"/>
    </w:pPr>
  </w:style>
  <w:style w:type="paragraph" w:customStyle="1" w:styleId="BodyTextUnindented">
    <w:name w:val="Body Text Unindented"/>
    <w:basedOn w:val="BodyTextIndented"/>
    <w:qFormat/>
    <w:rsid w:val="001A717E"/>
    <w:pPr>
      <w:ind w:firstLine="0"/>
    </w:pPr>
  </w:style>
  <w:style w:type="paragraph" w:customStyle="1" w:styleId="FindingHeading">
    <w:name w:val="Finding Heading"/>
    <w:basedOn w:val="BodyTextUnindented"/>
    <w:link w:val="FindingHeadingChar"/>
    <w:qFormat/>
    <w:rsid w:val="00B275BF"/>
    <w:pPr>
      <w:keepNext/>
      <w:keepLines/>
      <w:spacing w:before="240" w:after="60" w:line="240" w:lineRule="auto"/>
    </w:pPr>
    <w:rPr>
      <w:b/>
      <w:i/>
      <w:u w:val="single"/>
    </w:rPr>
  </w:style>
  <w:style w:type="character" w:customStyle="1" w:styleId="FindingHeadingChar">
    <w:name w:val="Finding Heading Char"/>
    <w:basedOn w:val="DefaultParagraphFont"/>
    <w:link w:val="FindingHeading"/>
    <w:rsid w:val="00B275BF"/>
    <w:rPr>
      <w:rFonts w:eastAsia="SimSun"/>
      <w:b/>
      <w:i/>
      <w:sz w:val="24"/>
      <w:szCs w:val="24"/>
      <w:u w:val="single"/>
      <w:lang w:eastAsia="zh-CN"/>
    </w:rPr>
  </w:style>
  <w:style w:type="paragraph" w:customStyle="1" w:styleId="DocketNumber">
    <w:name w:val="Docket Number"/>
    <w:basedOn w:val="Title"/>
    <w:link w:val="DocketNumberChar"/>
    <w:qFormat/>
    <w:rsid w:val="008F42BB"/>
    <w:pPr>
      <w:spacing w:before="0" w:after="480"/>
      <w:outlineLvl w:val="9"/>
    </w:pPr>
    <w:rPr>
      <w:rFonts w:ascii="Times New Roman" w:hAnsi="Times New Roman" w:cs="Times New Roman"/>
      <w:bCs w:val="0"/>
      <w:caps/>
      <w:snapToGrid w:val="0"/>
      <w:kern w:val="0"/>
      <w:sz w:val="24"/>
      <w:szCs w:val="24"/>
      <w:lang w:eastAsia="en-US"/>
    </w:rPr>
  </w:style>
  <w:style w:type="paragraph" w:customStyle="1" w:styleId="OrderTitle">
    <w:name w:val="Order Title"/>
    <w:basedOn w:val="Title"/>
    <w:link w:val="OrderTitleChar"/>
    <w:qFormat/>
    <w:rsid w:val="00241765"/>
    <w:pPr>
      <w:spacing w:before="480" w:after="480"/>
      <w:outlineLvl w:val="9"/>
    </w:pPr>
    <w:rPr>
      <w:rFonts w:ascii="Times New Roman" w:hAnsi="Times New Roman" w:cs="Times New Roman"/>
      <w:bCs w:val="0"/>
      <w:caps/>
      <w:snapToGrid w:val="0"/>
      <w:kern w:val="0"/>
      <w:sz w:val="24"/>
      <w:szCs w:val="24"/>
      <w:lang w:eastAsia="en-US"/>
    </w:rPr>
  </w:style>
  <w:style w:type="character" w:customStyle="1" w:styleId="TitleChar">
    <w:name w:val="Title Char"/>
    <w:basedOn w:val="DefaultParagraphFont"/>
    <w:link w:val="Title"/>
    <w:rsid w:val="00241765"/>
    <w:rPr>
      <w:rFonts w:ascii="Arial" w:hAnsi="Arial" w:cs="Arial"/>
      <w:b/>
      <w:bCs/>
      <w:kern w:val="28"/>
      <w:sz w:val="32"/>
      <w:szCs w:val="32"/>
      <w:lang w:eastAsia="zh-TW"/>
    </w:rPr>
  </w:style>
  <w:style w:type="character" w:customStyle="1" w:styleId="DocketNumberChar">
    <w:name w:val="Docket Number Char"/>
    <w:basedOn w:val="TitleChar"/>
    <w:link w:val="DocketNumber"/>
    <w:rsid w:val="008F42BB"/>
    <w:rPr>
      <w:rFonts w:ascii="Arial" w:hAnsi="Arial" w:cs="Arial"/>
      <w:b/>
      <w:bCs/>
      <w:caps/>
      <w:snapToGrid w:val="0"/>
      <w:kern w:val="28"/>
      <w:sz w:val="24"/>
      <w:szCs w:val="24"/>
      <w:lang w:eastAsia="zh-TW"/>
    </w:rPr>
  </w:style>
  <w:style w:type="paragraph" w:customStyle="1" w:styleId="SignatureBlockDate">
    <w:name w:val="Signature Block Date"/>
    <w:basedOn w:val="BodyTextIndented"/>
    <w:link w:val="SignatureBlockDateChar"/>
    <w:qFormat/>
    <w:rsid w:val="009F4606"/>
    <w:pPr>
      <w:keepNext/>
      <w:keepLines/>
      <w:spacing w:before="480" w:after="480" w:line="240" w:lineRule="auto"/>
    </w:pPr>
    <w:rPr>
      <w:b/>
    </w:rPr>
  </w:style>
  <w:style w:type="character" w:customStyle="1" w:styleId="OrderTitleChar">
    <w:name w:val="Order Title Char"/>
    <w:basedOn w:val="TitleChar"/>
    <w:link w:val="OrderTitle"/>
    <w:rsid w:val="00241765"/>
    <w:rPr>
      <w:rFonts w:ascii="Arial" w:hAnsi="Arial" w:cs="Arial"/>
      <w:b/>
      <w:bCs/>
      <w:caps/>
      <w:snapToGrid w:val="0"/>
      <w:kern w:val="28"/>
      <w:sz w:val="24"/>
      <w:szCs w:val="24"/>
      <w:lang w:eastAsia="zh-TW"/>
    </w:rPr>
  </w:style>
  <w:style w:type="character" w:customStyle="1" w:styleId="SignatureBlockDateChar">
    <w:name w:val="Signature Block Date Char"/>
    <w:basedOn w:val="BodyTextIndentedCharChar"/>
    <w:link w:val="SignatureBlockDate"/>
    <w:rsid w:val="009F4606"/>
    <w:rPr>
      <w:rFonts w:eastAsia="SimSun"/>
      <w:b/>
      <w:sz w:val="24"/>
      <w:szCs w:val="24"/>
      <w:lang w:eastAsia="zh-CN"/>
    </w:rPr>
  </w:style>
  <w:style w:type="paragraph" w:customStyle="1" w:styleId="OrderStyle">
    <w:name w:val="Order Style"/>
    <w:basedOn w:val="Normal"/>
    <w:link w:val="OrderStyleChar"/>
    <w:qFormat/>
    <w:rsid w:val="008F33A9"/>
    <w:pPr>
      <w:jc w:val="left"/>
    </w:pPr>
    <w:rPr>
      <w:rFonts w:eastAsia="SimSun"/>
      <w:b/>
      <w:caps/>
    </w:rPr>
  </w:style>
  <w:style w:type="character" w:customStyle="1" w:styleId="OrderStyleChar">
    <w:name w:val="Order Style Char"/>
    <w:basedOn w:val="DefaultParagraphFont"/>
    <w:link w:val="OrderStyle"/>
    <w:rsid w:val="008F33A9"/>
    <w:rPr>
      <w:rFonts w:eastAsia="SimSun"/>
      <w:b/>
      <w:caps/>
      <w:sz w:val="24"/>
      <w:lang w:eastAsia="zh-TW"/>
    </w:rPr>
  </w:style>
  <w:style w:type="paragraph" w:customStyle="1" w:styleId="OrderHeader">
    <w:name w:val="Order Header"/>
    <w:basedOn w:val="Header"/>
    <w:link w:val="OrderHeaderChar"/>
    <w:qFormat/>
    <w:rsid w:val="007C18A7"/>
    <w:rPr>
      <w:b/>
    </w:rPr>
  </w:style>
  <w:style w:type="character" w:customStyle="1" w:styleId="HeaderChar">
    <w:name w:val="Header Char"/>
    <w:basedOn w:val="DefaultParagraphFont"/>
    <w:link w:val="Header"/>
    <w:semiHidden/>
    <w:rsid w:val="007C18A7"/>
    <w:rPr>
      <w:rFonts w:eastAsia="SimSun"/>
      <w:lang w:eastAsia="zh-CN"/>
    </w:rPr>
  </w:style>
  <w:style w:type="character" w:customStyle="1" w:styleId="OrderHeaderChar">
    <w:name w:val="Order Header Char"/>
    <w:basedOn w:val="HeaderChar"/>
    <w:link w:val="OrderHeader"/>
    <w:rsid w:val="007C18A7"/>
    <w:rPr>
      <w:rFonts w:eastAsia="SimSun"/>
      <w:lang w:eastAsia="zh-CN"/>
    </w:rPr>
  </w:style>
  <w:style w:type="paragraph" w:customStyle="1" w:styleId="FilePath">
    <w:name w:val="File Path"/>
    <w:basedOn w:val="Normal"/>
    <w:link w:val="FilePathChar"/>
    <w:qFormat/>
    <w:rsid w:val="00A502B6"/>
    <w:pPr>
      <w:spacing w:before="120"/>
    </w:pPr>
    <w:rPr>
      <w:sz w:val="16"/>
    </w:rPr>
  </w:style>
  <w:style w:type="character" w:customStyle="1" w:styleId="FilePathChar">
    <w:name w:val="File Path Char"/>
    <w:basedOn w:val="DefaultParagraphFont"/>
    <w:link w:val="FilePath"/>
    <w:rsid w:val="00A502B6"/>
    <w:rPr>
      <w:sz w:val="16"/>
      <w:lang w:eastAsia="zh-TW"/>
    </w:rPr>
  </w:style>
  <w:style w:type="paragraph" w:customStyle="1" w:styleId="NoFormatting">
    <w:name w:val="No Formatting"/>
    <w:basedOn w:val="Normal"/>
    <w:link w:val="NoFormattingChar"/>
    <w:qFormat/>
    <w:rsid w:val="00B272BD"/>
  </w:style>
  <w:style w:type="character" w:customStyle="1" w:styleId="NoFormattingChar">
    <w:name w:val="No Formatting Char"/>
    <w:basedOn w:val="DefaultParagraphFont"/>
    <w:link w:val="NoFormatting"/>
    <w:rsid w:val="00B272BD"/>
    <w:rPr>
      <w:sz w:val="24"/>
      <w:lang w:eastAsia="zh-TW"/>
    </w:rPr>
  </w:style>
  <w:style w:type="paragraph" w:styleId="BalloonText">
    <w:name w:val="Balloon Text"/>
    <w:basedOn w:val="Normal"/>
    <w:link w:val="BalloonTextChar"/>
    <w:semiHidden/>
    <w:unhideWhenUsed/>
    <w:rsid w:val="00754AF2"/>
    <w:rPr>
      <w:rFonts w:ascii="Segoe UI" w:hAnsi="Segoe UI" w:cs="Segoe UI"/>
      <w:sz w:val="18"/>
      <w:szCs w:val="18"/>
    </w:rPr>
  </w:style>
  <w:style w:type="character" w:customStyle="1" w:styleId="BalloonTextChar">
    <w:name w:val="Balloon Text Char"/>
    <w:basedOn w:val="DefaultParagraphFont"/>
    <w:link w:val="BalloonText"/>
    <w:semiHidden/>
    <w:rsid w:val="00754AF2"/>
    <w:rPr>
      <w:rFonts w:ascii="Segoe UI" w:hAnsi="Segoe UI" w:cs="Segoe UI"/>
      <w:sz w:val="18"/>
      <w:szCs w:val="18"/>
      <w:lang w:eastAsia="zh-TW"/>
    </w:rPr>
  </w:style>
  <w:style w:type="paragraph" w:customStyle="1" w:styleId="Default">
    <w:name w:val="Default"/>
    <w:rsid w:val="009916D4"/>
    <w:pPr>
      <w:autoSpaceDE w:val="0"/>
      <w:autoSpaceDN w:val="0"/>
      <w:adjustRightInd w:val="0"/>
    </w:pPr>
    <w:rPr>
      <w:color w:val="000000"/>
      <w:sz w:val="24"/>
      <w:szCs w:val="24"/>
    </w:rPr>
  </w:style>
  <w:style w:type="paragraph" w:customStyle="1" w:styleId="FOFNumbered">
    <w:name w:val="FOF Numbered"/>
    <w:basedOn w:val="Normal"/>
    <w:link w:val="FOFNumberedChar"/>
    <w:uiPriority w:val="2"/>
    <w:qFormat/>
    <w:rsid w:val="001C0ACC"/>
    <w:pPr>
      <w:numPr>
        <w:numId w:val="22"/>
      </w:numPr>
      <w:spacing w:before="120" w:line="360" w:lineRule="auto"/>
    </w:pPr>
    <w:rPr>
      <w:snapToGrid w:val="0"/>
      <w:lang w:eastAsia="en-US"/>
    </w:rPr>
  </w:style>
  <w:style w:type="paragraph" w:customStyle="1" w:styleId="COLNumbered">
    <w:name w:val="COL Numbered"/>
    <w:basedOn w:val="FOFNumbered"/>
    <w:uiPriority w:val="2"/>
    <w:qFormat/>
    <w:rsid w:val="001C0ACC"/>
    <w:pPr>
      <w:numPr>
        <w:numId w:val="23"/>
      </w:numPr>
      <w:tabs>
        <w:tab w:val="num" w:pos="360"/>
      </w:tabs>
      <w:ind w:left="360" w:hanging="720"/>
    </w:pPr>
  </w:style>
  <w:style w:type="character" w:customStyle="1" w:styleId="FOFNumberedChar">
    <w:name w:val="FOF Numbered Char"/>
    <w:basedOn w:val="DefaultParagraphFont"/>
    <w:link w:val="FOFNumbered"/>
    <w:uiPriority w:val="2"/>
    <w:rsid w:val="001C0ACC"/>
    <w:rPr>
      <w:snapToGrid w:val="0"/>
      <w:sz w:val="24"/>
    </w:rPr>
  </w:style>
  <w:style w:type="paragraph" w:customStyle="1" w:styleId="OrderingParagraph">
    <w:name w:val="Ordering Paragraph"/>
    <w:basedOn w:val="Normal"/>
    <w:link w:val="OrderingParagraphChar"/>
    <w:uiPriority w:val="2"/>
    <w:qFormat/>
    <w:rsid w:val="001C0ACC"/>
    <w:pPr>
      <w:numPr>
        <w:numId w:val="24"/>
      </w:numPr>
      <w:spacing w:before="120" w:line="360" w:lineRule="auto"/>
    </w:pPr>
    <w:rPr>
      <w:snapToGrid w:val="0"/>
      <w:lang w:eastAsia="en-US"/>
    </w:rPr>
  </w:style>
  <w:style w:type="character" w:customStyle="1" w:styleId="OrderingParagraphChar">
    <w:name w:val="Ordering Paragraph Char"/>
    <w:basedOn w:val="DefaultParagraphFont"/>
    <w:link w:val="OrderingParagraph"/>
    <w:uiPriority w:val="2"/>
    <w:rsid w:val="001C0ACC"/>
    <w:rPr>
      <w:snapToGrid w:val="0"/>
      <w:sz w:val="24"/>
    </w:rPr>
  </w:style>
  <w:style w:type="paragraph" w:styleId="ListParagraph">
    <w:name w:val="List Paragraph"/>
    <w:basedOn w:val="Normal"/>
    <w:uiPriority w:val="34"/>
    <w:rsid w:val="005B2B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3022A-6A34-41A4-961B-E1DE054E5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319</TotalTime>
  <Pages>8</Pages>
  <Words>2014</Words>
  <Characters>10800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Kang</dc:creator>
  <cp:lastModifiedBy>Goodson, Susan</cp:lastModifiedBy>
  <cp:revision>21</cp:revision>
  <cp:lastPrinted>2017-03-07T19:07:00Z</cp:lastPrinted>
  <dcterms:created xsi:type="dcterms:W3CDTF">2017-02-28T16:14:00Z</dcterms:created>
  <dcterms:modified xsi:type="dcterms:W3CDTF">2017-03-07T19:31:00Z</dcterms:modified>
</cp:coreProperties>
</file>